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1C" w:rsidRPr="008D4086" w:rsidRDefault="0027138C" w:rsidP="00CF6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86">
        <w:rPr>
          <w:rFonts w:ascii="Times New Roman" w:hAnsi="Times New Roman" w:cs="Times New Roman"/>
          <w:b/>
          <w:sz w:val="24"/>
          <w:szCs w:val="24"/>
        </w:rPr>
        <w:t>KAT KARŞILIĞI İNŞAAT YAPTIRILACAKTIR</w:t>
      </w:r>
    </w:p>
    <w:p w:rsidR="0027138C" w:rsidRPr="008D4086" w:rsidRDefault="0027138C" w:rsidP="00CF6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4086">
        <w:rPr>
          <w:rFonts w:ascii="Times New Roman" w:hAnsi="Times New Roman" w:cs="Times New Roman"/>
          <w:b/>
          <w:sz w:val="24"/>
          <w:szCs w:val="24"/>
          <w:u w:val="single"/>
        </w:rPr>
        <w:t>Ankara Büyükşehir Belediyesi Başkanlığı’ndan</w:t>
      </w:r>
    </w:p>
    <w:p w:rsidR="0027138C" w:rsidRPr="00AE78A3" w:rsidRDefault="0027138C" w:rsidP="00CF6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38C" w:rsidRPr="00AE78A3" w:rsidRDefault="0027138C" w:rsidP="008D40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78A3">
        <w:rPr>
          <w:rFonts w:ascii="Times New Roman" w:hAnsi="Times New Roman" w:cs="Times New Roman"/>
        </w:rPr>
        <w:t xml:space="preserve">Mülkiyeti Belediye Başkanlığımıza ait Mamak İlçesi, </w:t>
      </w:r>
      <w:r w:rsidRPr="00AE78A3">
        <w:rPr>
          <w:rFonts w:ascii="Times New Roman" w:hAnsi="Times New Roman" w:cs="Times New Roman"/>
          <w:b/>
        </w:rPr>
        <w:t>Boğaziçi Mahallesi, 51123 Ada 1 Parsel</w:t>
      </w:r>
      <w:r w:rsidRPr="00AE78A3">
        <w:rPr>
          <w:rFonts w:ascii="Times New Roman" w:hAnsi="Times New Roman" w:cs="Times New Roman"/>
        </w:rPr>
        <w:t xml:space="preserve"> üzerine</w:t>
      </w:r>
      <w:r w:rsidR="00C26A25" w:rsidRPr="00AE78A3">
        <w:rPr>
          <w:rFonts w:ascii="Times New Roman" w:hAnsi="Times New Roman" w:cs="Times New Roman"/>
        </w:rPr>
        <w:t xml:space="preserve">, </w:t>
      </w:r>
      <w:r w:rsidR="00C26A25" w:rsidRPr="00AE78A3">
        <w:rPr>
          <w:rFonts w:ascii="Times New Roman" w:hAnsi="Times New Roman" w:cs="Times New Roman"/>
          <w:lang w:bidi="tr-TR"/>
        </w:rPr>
        <w:t>Yeni Mamak Kentsel Dönüşüm ve Gelişim Projesi Alanındaki hak sahiplerine taahhüt edilen konutlardan bir kısmının imalatı</w:t>
      </w:r>
      <w:r w:rsidR="00AE78A3" w:rsidRPr="00AE78A3">
        <w:rPr>
          <w:rFonts w:ascii="Times New Roman" w:hAnsi="Times New Roman" w:cs="Times New Roman"/>
          <w:lang w:bidi="tr-TR"/>
        </w:rPr>
        <w:t xml:space="preserve"> ve </w:t>
      </w:r>
      <w:r w:rsidR="00C26A25" w:rsidRPr="00AE78A3">
        <w:rPr>
          <w:rFonts w:ascii="Times New Roman" w:hAnsi="Times New Roman" w:cs="Times New Roman"/>
          <w:lang w:bidi="tr-TR"/>
        </w:rPr>
        <w:t xml:space="preserve">finansmanı amacıyla, </w:t>
      </w:r>
      <w:r w:rsidR="00C26A25" w:rsidRPr="00AE78A3">
        <w:rPr>
          <w:rFonts w:ascii="Times New Roman" w:hAnsi="Times New Roman" w:cs="Times New Roman"/>
        </w:rPr>
        <w:t xml:space="preserve">2886 sayılı Kanunun </w:t>
      </w:r>
      <w:r w:rsidRPr="00AE78A3">
        <w:rPr>
          <w:rFonts w:ascii="Times New Roman" w:hAnsi="Times New Roman" w:cs="Times New Roman"/>
        </w:rPr>
        <w:t>36. M</w:t>
      </w:r>
      <w:r w:rsidR="00C26A25" w:rsidRPr="00AE78A3">
        <w:rPr>
          <w:rFonts w:ascii="Times New Roman" w:hAnsi="Times New Roman" w:cs="Times New Roman"/>
        </w:rPr>
        <w:t>addesi kapsamında</w:t>
      </w:r>
      <w:r w:rsidRPr="00AE78A3">
        <w:rPr>
          <w:rFonts w:ascii="Times New Roman" w:hAnsi="Times New Roman" w:cs="Times New Roman"/>
        </w:rPr>
        <w:t xml:space="preserve"> kapalı teklif usulü ile </w:t>
      </w:r>
      <w:r w:rsidRPr="00AE78A3">
        <w:rPr>
          <w:rFonts w:ascii="Times New Roman" w:hAnsi="Times New Roman" w:cs="Times New Roman"/>
          <w:b/>
        </w:rPr>
        <w:t>Kat Karşılığı İnşaat</w:t>
      </w:r>
      <w:r w:rsidRPr="00AE78A3">
        <w:rPr>
          <w:rFonts w:ascii="Times New Roman" w:hAnsi="Times New Roman" w:cs="Times New Roman"/>
        </w:rPr>
        <w:t xml:space="preserve"> ihalesi yapılacaktır.</w:t>
      </w:r>
    </w:p>
    <w:p w:rsidR="00AA4A1E" w:rsidRPr="008D4086" w:rsidRDefault="00AA4A1E" w:rsidP="00CF6C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993"/>
        <w:gridCol w:w="993"/>
        <w:gridCol w:w="1134"/>
        <w:gridCol w:w="850"/>
        <w:gridCol w:w="1418"/>
        <w:gridCol w:w="1701"/>
        <w:gridCol w:w="1383"/>
      </w:tblGrid>
      <w:tr w:rsidR="00AE78A3" w:rsidRPr="002108EB" w:rsidTr="00AA3F69">
        <w:trPr>
          <w:cantSplit/>
          <w:trHeight w:val="1067"/>
        </w:trPr>
        <w:tc>
          <w:tcPr>
            <w:tcW w:w="426" w:type="dxa"/>
            <w:textDirection w:val="btLr"/>
            <w:vAlign w:val="center"/>
          </w:tcPr>
          <w:p w:rsidR="00AE78A3" w:rsidRPr="002108EB" w:rsidRDefault="00AE78A3" w:rsidP="006E2F14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İl</w:t>
            </w:r>
          </w:p>
        </w:tc>
        <w:tc>
          <w:tcPr>
            <w:tcW w:w="425" w:type="dxa"/>
            <w:textDirection w:val="btLr"/>
            <w:vAlign w:val="center"/>
          </w:tcPr>
          <w:p w:rsidR="00AE78A3" w:rsidRPr="002108EB" w:rsidRDefault="00AE78A3" w:rsidP="006E2F14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İlçe</w:t>
            </w:r>
          </w:p>
        </w:tc>
        <w:tc>
          <w:tcPr>
            <w:tcW w:w="425" w:type="dxa"/>
            <w:textDirection w:val="btLr"/>
            <w:vAlign w:val="center"/>
          </w:tcPr>
          <w:p w:rsidR="00AE78A3" w:rsidRPr="002108EB" w:rsidRDefault="00AE78A3" w:rsidP="006E2F14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Mahalle</w:t>
            </w:r>
          </w:p>
        </w:tc>
        <w:tc>
          <w:tcPr>
            <w:tcW w:w="993" w:type="dxa"/>
            <w:vAlign w:val="center"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8EB">
              <w:rPr>
                <w:rFonts w:ascii="Times New Roman" w:hAnsi="Times New Roman" w:cs="Times New Roman"/>
                <w:b/>
                <w:sz w:val="20"/>
                <w:szCs w:val="20"/>
              </w:rPr>
              <w:t>Ada/ Parsel</w:t>
            </w:r>
          </w:p>
        </w:tc>
        <w:tc>
          <w:tcPr>
            <w:tcW w:w="993" w:type="dxa"/>
            <w:vAlign w:val="center"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8EB">
              <w:rPr>
                <w:rFonts w:ascii="Times New Roman" w:hAnsi="Times New Roman" w:cs="Times New Roman"/>
                <w:b/>
                <w:sz w:val="20"/>
                <w:szCs w:val="20"/>
              </w:rPr>
              <w:t>Arsa Alanı (m²)</w:t>
            </w:r>
          </w:p>
        </w:tc>
        <w:tc>
          <w:tcPr>
            <w:tcW w:w="1134" w:type="dxa"/>
            <w:vAlign w:val="center"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İmar </w:t>
            </w:r>
            <w:proofErr w:type="spellStart"/>
            <w:r w:rsidRPr="002108EB">
              <w:rPr>
                <w:rFonts w:ascii="Times New Roman" w:hAnsi="Times New Roman" w:cs="Times New Roman"/>
                <w:b/>
                <w:sz w:val="20"/>
                <w:szCs w:val="20"/>
              </w:rPr>
              <w:t>KullanımŞekli</w:t>
            </w:r>
            <w:proofErr w:type="spellEnd"/>
          </w:p>
        </w:tc>
        <w:tc>
          <w:tcPr>
            <w:tcW w:w="850" w:type="dxa"/>
            <w:vAlign w:val="center"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8EB">
              <w:rPr>
                <w:rFonts w:ascii="Times New Roman" w:hAnsi="Times New Roman" w:cs="Times New Roman"/>
                <w:b/>
                <w:sz w:val="20"/>
                <w:szCs w:val="20"/>
              </w:rPr>
              <w:t>Emsal</w:t>
            </w:r>
          </w:p>
        </w:tc>
        <w:tc>
          <w:tcPr>
            <w:tcW w:w="1418" w:type="dxa"/>
            <w:vAlign w:val="center"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Emsale </w:t>
            </w:r>
            <w:proofErr w:type="gramStart"/>
            <w:r w:rsidRPr="002108EB">
              <w:rPr>
                <w:rFonts w:ascii="Times New Roman" w:hAnsi="Times New Roman" w:cs="Times New Roman"/>
                <w:b/>
                <w:sz w:val="20"/>
                <w:szCs w:val="20"/>
              </w:rPr>
              <w:t>Esas  Toplam</w:t>
            </w:r>
            <w:proofErr w:type="gramEnd"/>
            <w:r w:rsidRPr="00210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İnşaat Alanı (m²)</w:t>
            </w:r>
          </w:p>
        </w:tc>
        <w:tc>
          <w:tcPr>
            <w:tcW w:w="1701" w:type="dxa"/>
            <w:vAlign w:val="center"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Tahmini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Bedel </w:t>
            </w:r>
            <w:r w:rsidRPr="002108EB">
              <w:rPr>
                <w:rFonts w:ascii="Times New Roman" w:hAnsi="Times New Roman" w:cs="Times New Roman"/>
                <w:b/>
                <w:sz w:val="20"/>
                <w:szCs w:val="20"/>
              </w:rPr>
              <w:t>(TL)</w:t>
            </w:r>
          </w:p>
        </w:tc>
        <w:tc>
          <w:tcPr>
            <w:tcW w:w="1383" w:type="dxa"/>
            <w:vAlign w:val="center"/>
          </w:tcPr>
          <w:p w:rsidR="00AE78A3" w:rsidRDefault="00AE78A3" w:rsidP="006E2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Geçici Teminat Bedeli</w:t>
            </w:r>
          </w:p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(TL)</w:t>
            </w:r>
          </w:p>
        </w:tc>
      </w:tr>
      <w:tr w:rsidR="00AE78A3" w:rsidRPr="002108EB" w:rsidTr="00AA3F69">
        <w:trPr>
          <w:trHeight w:val="698"/>
        </w:trPr>
        <w:tc>
          <w:tcPr>
            <w:tcW w:w="426" w:type="dxa"/>
            <w:vMerge w:val="restart"/>
            <w:textDirection w:val="btLr"/>
            <w:vAlign w:val="center"/>
          </w:tcPr>
          <w:p w:rsidR="00AE78A3" w:rsidRPr="002108EB" w:rsidRDefault="00AE78A3" w:rsidP="006E2F1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Ankara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E78A3" w:rsidRPr="002108EB" w:rsidRDefault="00AE78A3" w:rsidP="006E2F1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Mamak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E78A3" w:rsidRPr="002108EB" w:rsidRDefault="00AE78A3" w:rsidP="006E2F1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Boğaziçi</w:t>
            </w:r>
          </w:p>
        </w:tc>
        <w:tc>
          <w:tcPr>
            <w:tcW w:w="993" w:type="dxa"/>
            <w:vMerge w:val="restart"/>
            <w:vAlign w:val="center"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EB">
              <w:rPr>
                <w:rFonts w:ascii="Times New Roman" w:hAnsi="Times New Roman" w:cs="Times New Roman"/>
                <w:sz w:val="20"/>
                <w:szCs w:val="20"/>
              </w:rPr>
              <w:t>51123 / 1</w:t>
            </w:r>
          </w:p>
        </w:tc>
        <w:tc>
          <w:tcPr>
            <w:tcW w:w="993" w:type="dxa"/>
            <w:vMerge w:val="restart"/>
            <w:vAlign w:val="center"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EB">
              <w:rPr>
                <w:rFonts w:ascii="Times New Roman" w:hAnsi="Times New Roman" w:cs="Times New Roman"/>
                <w:sz w:val="20"/>
                <w:szCs w:val="20"/>
              </w:rPr>
              <w:t>10966,43</w:t>
            </w:r>
          </w:p>
        </w:tc>
        <w:tc>
          <w:tcPr>
            <w:tcW w:w="1134" w:type="dxa"/>
            <w:vMerge w:val="restart"/>
            <w:vAlign w:val="center"/>
          </w:tcPr>
          <w:p w:rsidR="00AE78A3" w:rsidRDefault="00AE78A3" w:rsidP="006E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EB">
              <w:rPr>
                <w:rFonts w:ascii="Times New Roman" w:hAnsi="Times New Roman" w:cs="Times New Roman"/>
                <w:sz w:val="20"/>
                <w:szCs w:val="20"/>
              </w:rPr>
              <w:t>Konut</w:t>
            </w:r>
          </w:p>
          <w:p w:rsidR="00AE78A3" w:rsidRDefault="00AE78A3" w:rsidP="006E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Yençok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Kat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EB">
              <w:rPr>
                <w:rFonts w:ascii="Times New Roman" w:hAnsi="Times New Roman" w:cs="Times New Roman"/>
                <w:sz w:val="20"/>
                <w:szCs w:val="20"/>
              </w:rPr>
              <w:t>E: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Merge w:val="restart"/>
            <w:vAlign w:val="center"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EB">
              <w:rPr>
                <w:rFonts w:ascii="Times New Roman" w:hAnsi="Times New Roman" w:cs="Times New Roman"/>
                <w:sz w:val="20"/>
                <w:szCs w:val="20"/>
              </w:rPr>
              <w:t>21932,86</w:t>
            </w:r>
          </w:p>
        </w:tc>
        <w:tc>
          <w:tcPr>
            <w:tcW w:w="1701" w:type="dxa"/>
            <w:vAlign w:val="center"/>
          </w:tcPr>
          <w:p w:rsidR="00AE78A3" w:rsidRPr="002108EB" w:rsidRDefault="005937D8" w:rsidP="006E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54.832.150,00</w:t>
            </w:r>
            <w:r w:rsidRPr="002108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78A3" w:rsidRPr="002108EB">
              <w:rPr>
                <w:rFonts w:ascii="Times New Roman" w:hAnsi="Times New Roman" w:cs="Times New Roman"/>
                <w:sz w:val="20"/>
                <w:szCs w:val="20"/>
              </w:rPr>
              <w:t>(Arsa Bedeli)</w:t>
            </w:r>
          </w:p>
        </w:tc>
        <w:tc>
          <w:tcPr>
            <w:tcW w:w="1383" w:type="dxa"/>
            <w:vMerge w:val="restart"/>
            <w:vAlign w:val="center"/>
          </w:tcPr>
          <w:p w:rsidR="00AE78A3" w:rsidRPr="002108EB" w:rsidRDefault="005937D8" w:rsidP="006E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5.856.073,62</w:t>
            </w:r>
          </w:p>
        </w:tc>
      </w:tr>
      <w:tr w:rsidR="00AE78A3" w:rsidRPr="002108EB" w:rsidTr="00AA3F69">
        <w:trPr>
          <w:trHeight w:val="277"/>
        </w:trPr>
        <w:tc>
          <w:tcPr>
            <w:tcW w:w="426" w:type="dxa"/>
            <w:vMerge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8EB">
              <w:rPr>
                <w:rFonts w:ascii="Times New Roman" w:hAnsi="Times New Roman" w:cs="Times New Roman"/>
                <w:sz w:val="20"/>
                <w:szCs w:val="20"/>
              </w:rPr>
              <w:t xml:space="preserve">140.370.304,00 (İnşaat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Keşif Bedeli</w:t>
            </w:r>
            <w:r w:rsidRPr="002108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83" w:type="dxa"/>
            <w:vMerge/>
            <w:vAlign w:val="center"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8A3" w:rsidRPr="002108EB" w:rsidTr="00AA3F69">
        <w:trPr>
          <w:trHeight w:val="420"/>
        </w:trPr>
        <w:tc>
          <w:tcPr>
            <w:tcW w:w="6664" w:type="dxa"/>
            <w:gridSpan w:val="8"/>
            <w:vAlign w:val="center"/>
          </w:tcPr>
          <w:p w:rsidR="00AE78A3" w:rsidRPr="002108EB" w:rsidRDefault="00AE78A3" w:rsidP="006E2F1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8EB"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701" w:type="dxa"/>
            <w:vAlign w:val="center"/>
          </w:tcPr>
          <w:p w:rsidR="00AE78A3" w:rsidRPr="002108EB" w:rsidRDefault="005937D8" w:rsidP="006E2F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195.202.454,00</w:t>
            </w:r>
          </w:p>
        </w:tc>
        <w:tc>
          <w:tcPr>
            <w:tcW w:w="1383" w:type="dxa"/>
            <w:vMerge/>
            <w:vAlign w:val="center"/>
          </w:tcPr>
          <w:p w:rsidR="00AE78A3" w:rsidRPr="002108EB" w:rsidRDefault="00AE78A3" w:rsidP="006E2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7138C" w:rsidRPr="00AE78A3" w:rsidRDefault="0027138C" w:rsidP="00AE78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490A" w:rsidRPr="006E4683" w:rsidRDefault="00CF6CAA" w:rsidP="00AE78A3">
      <w:pPr>
        <w:pStyle w:val="ortabalkbold"/>
        <w:spacing w:before="0" w:beforeAutospacing="0" w:after="0" w:afterAutospacing="0"/>
        <w:jc w:val="both"/>
        <w:rPr>
          <w:sz w:val="22"/>
          <w:szCs w:val="22"/>
        </w:rPr>
      </w:pPr>
      <w:r w:rsidRPr="00AE78A3">
        <w:rPr>
          <w:b/>
          <w:sz w:val="22"/>
          <w:szCs w:val="22"/>
        </w:rPr>
        <w:t>1-</w:t>
      </w:r>
      <w:r w:rsidRPr="00AE78A3">
        <w:rPr>
          <w:sz w:val="22"/>
          <w:szCs w:val="22"/>
        </w:rPr>
        <w:t xml:space="preserve"> </w:t>
      </w:r>
      <w:r w:rsidR="0079490A" w:rsidRPr="00AE78A3">
        <w:rPr>
          <w:sz w:val="22"/>
          <w:szCs w:val="22"/>
        </w:rPr>
        <w:t xml:space="preserve">Bu işin Tahmini Bedeli; </w:t>
      </w:r>
      <w:r w:rsidRPr="00AE78A3">
        <w:rPr>
          <w:sz w:val="22"/>
          <w:szCs w:val="22"/>
        </w:rPr>
        <w:t xml:space="preserve">22 Eylül 2022 tarih ve 31952 sayılı Resmi Gazetede yayınlanan “Çevre, Şehircilik ve İklim </w:t>
      </w:r>
      <w:r w:rsidR="001C3867">
        <w:rPr>
          <w:sz w:val="22"/>
          <w:szCs w:val="22"/>
        </w:rPr>
        <w:t>Değişikliği Bakanlığı Mimarlık v</w:t>
      </w:r>
      <w:r w:rsidRPr="00AE78A3">
        <w:rPr>
          <w:sz w:val="22"/>
          <w:szCs w:val="22"/>
        </w:rPr>
        <w:t xml:space="preserve">e Mühendislik Hizmet Bedellerinin Hesabında Kullanılacak 2022/3 Yılı Yapı Yaklaşık Birim Maliyetleri Hakkında Tebliğ” de yer alan yapı sınıflarından IV-C grubu yapıların birim maliyeti ile ihale konusu parselin toplam emsale esas inşaat alanının çarpımından oluşan 6.400 TL/m² X 21.932,86 m²= 140.370.304,00 TL inşaat keşif bedeli ile </w:t>
      </w:r>
      <w:r w:rsidRPr="006E4683">
        <w:rPr>
          <w:sz w:val="22"/>
          <w:szCs w:val="22"/>
        </w:rPr>
        <w:t xml:space="preserve">arsa bedeli </w:t>
      </w:r>
      <w:r w:rsidR="005937D8" w:rsidRPr="006E4683">
        <w:rPr>
          <w:sz w:val="22"/>
          <w:szCs w:val="22"/>
        </w:rPr>
        <w:t xml:space="preserve">54.832.150,00 </w:t>
      </w:r>
      <w:r w:rsidRPr="006E4683">
        <w:rPr>
          <w:sz w:val="22"/>
          <w:szCs w:val="22"/>
        </w:rPr>
        <w:t xml:space="preserve">TL </w:t>
      </w:r>
      <w:r w:rsidR="005937D8" w:rsidRPr="006E4683">
        <w:rPr>
          <w:sz w:val="22"/>
          <w:szCs w:val="22"/>
        </w:rPr>
        <w:t xml:space="preserve">toplamı </w:t>
      </w:r>
      <w:r w:rsidRPr="006E4683">
        <w:rPr>
          <w:sz w:val="22"/>
          <w:szCs w:val="22"/>
        </w:rPr>
        <w:t xml:space="preserve">sonucu </w:t>
      </w:r>
      <w:r w:rsidR="005937D8" w:rsidRPr="006E4683">
        <w:rPr>
          <w:b/>
          <w:sz w:val="22"/>
          <w:szCs w:val="22"/>
        </w:rPr>
        <w:t>195.202.454,00</w:t>
      </w:r>
      <w:r w:rsidR="005937D8" w:rsidRPr="006E4683">
        <w:rPr>
          <w:b/>
          <w:sz w:val="20"/>
          <w:szCs w:val="20"/>
        </w:rPr>
        <w:t xml:space="preserve"> </w:t>
      </w:r>
      <w:r w:rsidRPr="006E4683">
        <w:rPr>
          <w:b/>
          <w:sz w:val="22"/>
          <w:szCs w:val="22"/>
        </w:rPr>
        <w:t>TL (</w:t>
      </w:r>
      <w:proofErr w:type="spellStart"/>
      <w:r w:rsidR="005937D8" w:rsidRPr="006E4683">
        <w:rPr>
          <w:color w:val="000000"/>
          <w:spacing w:val="5"/>
          <w:sz w:val="22"/>
          <w:szCs w:val="22"/>
          <w:lang w:bidi="tr-TR"/>
        </w:rPr>
        <w:t>yüzdoksanbeşmilyonikiyüzikibindörtyüzellidört</w:t>
      </w:r>
      <w:proofErr w:type="spellEnd"/>
      <w:r w:rsidR="005937D8" w:rsidRPr="006E4683">
        <w:rPr>
          <w:b/>
          <w:sz w:val="22"/>
          <w:szCs w:val="22"/>
        </w:rPr>
        <w:t xml:space="preserve"> </w:t>
      </w:r>
      <w:r w:rsidRPr="006E4683">
        <w:rPr>
          <w:sz w:val="22"/>
          <w:szCs w:val="22"/>
        </w:rPr>
        <w:t>Türk Lirası</w:t>
      </w:r>
      <w:r w:rsidRPr="006E4683">
        <w:rPr>
          <w:b/>
          <w:sz w:val="22"/>
          <w:szCs w:val="22"/>
        </w:rPr>
        <w:t>)</w:t>
      </w:r>
      <w:r w:rsidRPr="006E4683">
        <w:rPr>
          <w:sz w:val="22"/>
          <w:szCs w:val="22"/>
        </w:rPr>
        <w:t xml:space="preserve"> ‘</w:t>
      </w:r>
      <w:proofErr w:type="spellStart"/>
      <w:proofErr w:type="gramStart"/>
      <w:r w:rsidRPr="006E4683">
        <w:rPr>
          <w:sz w:val="22"/>
          <w:szCs w:val="22"/>
        </w:rPr>
        <w:t>dır</w:t>
      </w:r>
      <w:proofErr w:type="spellEnd"/>
      <w:proofErr w:type="gramEnd"/>
      <w:r w:rsidRPr="006E4683">
        <w:rPr>
          <w:sz w:val="22"/>
          <w:szCs w:val="22"/>
        </w:rPr>
        <w:t>.</w:t>
      </w:r>
    </w:p>
    <w:p w:rsidR="00CF6CAA" w:rsidRPr="006E4683" w:rsidRDefault="00CF6CAA" w:rsidP="00AE78A3">
      <w:pPr>
        <w:pStyle w:val="ortabalkbold"/>
        <w:spacing w:before="0" w:beforeAutospacing="0" w:after="0" w:afterAutospacing="0"/>
        <w:jc w:val="both"/>
        <w:rPr>
          <w:sz w:val="22"/>
          <w:szCs w:val="22"/>
        </w:rPr>
      </w:pPr>
      <w:r w:rsidRPr="006E4683">
        <w:rPr>
          <w:b/>
          <w:sz w:val="22"/>
          <w:szCs w:val="22"/>
        </w:rPr>
        <w:t>2-</w:t>
      </w:r>
      <w:r w:rsidRPr="006E4683">
        <w:rPr>
          <w:sz w:val="22"/>
          <w:szCs w:val="22"/>
        </w:rPr>
        <w:t xml:space="preserve"> İhale </w:t>
      </w:r>
      <w:r w:rsidR="006E4683" w:rsidRPr="006E4683">
        <w:rPr>
          <w:b/>
          <w:sz w:val="22"/>
          <w:szCs w:val="22"/>
        </w:rPr>
        <w:t>16.02</w:t>
      </w:r>
      <w:r w:rsidRPr="006E4683">
        <w:rPr>
          <w:b/>
          <w:sz w:val="22"/>
          <w:szCs w:val="22"/>
        </w:rPr>
        <w:t xml:space="preserve">.2023 </w:t>
      </w:r>
      <w:r w:rsidR="006E4683" w:rsidRPr="006E4683">
        <w:rPr>
          <w:b/>
          <w:sz w:val="22"/>
          <w:szCs w:val="22"/>
        </w:rPr>
        <w:t>Perşembe</w:t>
      </w:r>
      <w:r w:rsidRPr="006E4683">
        <w:rPr>
          <w:b/>
          <w:sz w:val="22"/>
          <w:szCs w:val="22"/>
        </w:rPr>
        <w:t xml:space="preserve"> Günü, saat </w:t>
      </w:r>
      <w:r w:rsidR="006E4683" w:rsidRPr="006E4683">
        <w:rPr>
          <w:b/>
          <w:sz w:val="22"/>
          <w:szCs w:val="22"/>
        </w:rPr>
        <w:t>1</w:t>
      </w:r>
      <w:r w:rsidR="001C3867">
        <w:rPr>
          <w:b/>
          <w:sz w:val="22"/>
          <w:szCs w:val="22"/>
        </w:rPr>
        <w:t>4</w:t>
      </w:r>
      <w:r w:rsidRPr="006E4683">
        <w:rPr>
          <w:b/>
          <w:sz w:val="22"/>
          <w:szCs w:val="22"/>
        </w:rPr>
        <w:t>.00’da</w:t>
      </w:r>
      <w:r w:rsidRPr="006E4683">
        <w:rPr>
          <w:sz w:val="22"/>
          <w:szCs w:val="22"/>
        </w:rPr>
        <w:t xml:space="preserve"> Hipodrom Caddesi No:5 Kat:1 Yenimahalle/ANKARA adresindeki Ankara Büyükşehir Belediyesi binası içersindeki Belediye Encümen Salonunda yapılacaktır.</w:t>
      </w:r>
    </w:p>
    <w:p w:rsidR="00AA4A1E" w:rsidRPr="006E4683" w:rsidRDefault="00AA4A1E" w:rsidP="00AE78A3">
      <w:pPr>
        <w:pStyle w:val="ortabalkbold"/>
        <w:spacing w:before="0" w:beforeAutospacing="0" w:after="0" w:afterAutospacing="0"/>
        <w:jc w:val="both"/>
        <w:rPr>
          <w:sz w:val="22"/>
          <w:szCs w:val="22"/>
        </w:rPr>
      </w:pPr>
      <w:r w:rsidRPr="006E4683">
        <w:rPr>
          <w:b/>
          <w:sz w:val="22"/>
          <w:szCs w:val="22"/>
        </w:rPr>
        <w:t>3-</w:t>
      </w:r>
      <w:r w:rsidRPr="006E4683">
        <w:rPr>
          <w:sz w:val="22"/>
          <w:szCs w:val="22"/>
        </w:rPr>
        <w:t xml:space="preserve"> İhale Şartnamesi ile diğer evraklar </w:t>
      </w:r>
      <w:r w:rsidRPr="006E4683">
        <w:rPr>
          <w:b/>
          <w:sz w:val="22"/>
          <w:szCs w:val="22"/>
        </w:rPr>
        <w:t>Özel Projeler ve Dönüşüm Dairesi Başkanlığı Proje Geliştirme Şube Müdürlüğü Hipodrom Caddesi No:5 Kat:15 Yenimahalle/ANKARA</w:t>
      </w:r>
      <w:r w:rsidRPr="006E4683">
        <w:rPr>
          <w:sz w:val="22"/>
          <w:szCs w:val="22"/>
        </w:rPr>
        <w:t xml:space="preserve"> adresinde </w:t>
      </w:r>
      <w:r w:rsidR="006E4683" w:rsidRPr="006E4683">
        <w:rPr>
          <w:b/>
          <w:sz w:val="22"/>
          <w:szCs w:val="22"/>
        </w:rPr>
        <w:t>1</w:t>
      </w:r>
      <w:r w:rsidR="00ED40A1">
        <w:rPr>
          <w:b/>
          <w:sz w:val="22"/>
          <w:szCs w:val="22"/>
        </w:rPr>
        <w:t>5</w:t>
      </w:r>
      <w:r w:rsidR="006E4683" w:rsidRPr="006E4683">
        <w:rPr>
          <w:b/>
          <w:sz w:val="22"/>
          <w:szCs w:val="22"/>
        </w:rPr>
        <w:t>.02</w:t>
      </w:r>
      <w:r w:rsidRPr="006E4683">
        <w:rPr>
          <w:b/>
          <w:sz w:val="22"/>
          <w:szCs w:val="22"/>
        </w:rPr>
        <w:t xml:space="preserve">.2023 tarihi saat </w:t>
      </w:r>
      <w:r w:rsidR="006E4683" w:rsidRPr="006E4683">
        <w:rPr>
          <w:b/>
          <w:sz w:val="22"/>
          <w:szCs w:val="22"/>
        </w:rPr>
        <w:t>1</w:t>
      </w:r>
      <w:r w:rsidR="00ED40A1">
        <w:rPr>
          <w:b/>
          <w:sz w:val="22"/>
          <w:szCs w:val="22"/>
        </w:rPr>
        <w:t>6</w:t>
      </w:r>
      <w:r w:rsidRPr="006E4683">
        <w:rPr>
          <w:b/>
          <w:sz w:val="22"/>
          <w:szCs w:val="22"/>
        </w:rPr>
        <w:t>.00’</w:t>
      </w:r>
      <w:r w:rsidR="00ED40A1">
        <w:rPr>
          <w:b/>
          <w:sz w:val="22"/>
          <w:szCs w:val="22"/>
        </w:rPr>
        <w:t>ya</w:t>
      </w:r>
      <w:r w:rsidRPr="006E4683">
        <w:rPr>
          <w:sz w:val="22"/>
          <w:szCs w:val="22"/>
        </w:rPr>
        <w:t xml:space="preserve"> kadar görülebilir.</w:t>
      </w:r>
    </w:p>
    <w:p w:rsidR="00AA4A1E" w:rsidRPr="00AE78A3" w:rsidRDefault="00AA4A1E" w:rsidP="00AE78A3">
      <w:pPr>
        <w:pStyle w:val="ortabalkbold"/>
        <w:spacing w:before="0" w:beforeAutospacing="0" w:after="0" w:afterAutospacing="0"/>
        <w:jc w:val="both"/>
        <w:rPr>
          <w:sz w:val="22"/>
          <w:szCs w:val="22"/>
        </w:rPr>
      </w:pPr>
      <w:r w:rsidRPr="006E4683">
        <w:rPr>
          <w:b/>
          <w:sz w:val="22"/>
          <w:szCs w:val="22"/>
        </w:rPr>
        <w:t>4-</w:t>
      </w:r>
      <w:r w:rsidRPr="006E4683">
        <w:rPr>
          <w:sz w:val="22"/>
          <w:szCs w:val="22"/>
        </w:rPr>
        <w:t xml:space="preserve"> İhaleye katılmak için istenilen suret belgeler noter tasdikli</w:t>
      </w:r>
      <w:r w:rsidRPr="00AE78A3">
        <w:rPr>
          <w:sz w:val="22"/>
          <w:szCs w:val="22"/>
        </w:rPr>
        <w:t xml:space="preserve"> ve ayrı ayrı yevmiye numarası alınarak sunulabileceği gibi aslı ibraz edilmek kaydı ile İdare tarafından aslı gibidir yapılmak suretiyle de sunulabilecektir.</w:t>
      </w:r>
    </w:p>
    <w:p w:rsidR="00C26A25" w:rsidRPr="00AE78A3" w:rsidRDefault="005D5EB8" w:rsidP="00AE78A3">
      <w:pPr>
        <w:pStyle w:val="ortabalkbold"/>
        <w:spacing w:before="0" w:beforeAutospacing="0" w:after="0" w:afterAutospacing="0"/>
        <w:jc w:val="both"/>
        <w:rPr>
          <w:sz w:val="22"/>
          <w:szCs w:val="22"/>
        </w:rPr>
      </w:pPr>
      <w:r w:rsidRPr="00AE78A3">
        <w:rPr>
          <w:b/>
          <w:sz w:val="22"/>
          <w:szCs w:val="22"/>
        </w:rPr>
        <w:t>5-</w:t>
      </w:r>
      <w:r w:rsidRPr="00AE78A3">
        <w:rPr>
          <w:sz w:val="22"/>
          <w:szCs w:val="22"/>
        </w:rPr>
        <w:t xml:space="preserve"> İstekliler, ihaleye katılmak için örneğine uygun teklif mektubu ile birlikte</w:t>
      </w:r>
      <w:r w:rsidR="00976600" w:rsidRPr="00AE78A3">
        <w:rPr>
          <w:sz w:val="22"/>
          <w:szCs w:val="22"/>
        </w:rPr>
        <w:t xml:space="preserve"> aşağıda belirtilen belgeleri sunacaklardır</w:t>
      </w:r>
      <w:r w:rsidRPr="00AE78A3">
        <w:rPr>
          <w:sz w:val="22"/>
          <w:szCs w:val="22"/>
        </w:rPr>
        <w:t>;</w:t>
      </w:r>
    </w:p>
    <w:p w:rsidR="002F6B39" w:rsidRPr="00AE78A3" w:rsidRDefault="002F6B39" w:rsidP="00AE78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E78A3">
        <w:rPr>
          <w:rFonts w:ascii="Times New Roman" w:hAnsi="Times New Roman" w:cs="Times New Roman"/>
        </w:rPr>
        <w:t xml:space="preserve">- Kanuni </w:t>
      </w:r>
      <w:proofErr w:type="gramStart"/>
      <w:r w:rsidRPr="00AE78A3">
        <w:rPr>
          <w:rFonts w:ascii="Times New Roman" w:hAnsi="Times New Roman" w:cs="Times New Roman"/>
        </w:rPr>
        <w:t>ikametgah</w:t>
      </w:r>
      <w:proofErr w:type="gramEnd"/>
      <w:r w:rsidRPr="00AE78A3">
        <w:rPr>
          <w:rFonts w:ascii="Times New Roman" w:hAnsi="Times New Roman" w:cs="Times New Roman"/>
        </w:rPr>
        <w:t xml:space="preserve"> belgesi,</w:t>
      </w:r>
      <w:r w:rsidR="00F80EDC" w:rsidRPr="00AE78A3">
        <w:rPr>
          <w:rFonts w:ascii="Times New Roman" w:hAnsi="Times New Roman" w:cs="Times New Roman"/>
        </w:rPr>
        <w:t xml:space="preserve"> tebligat için adres gösterilmesi,</w:t>
      </w:r>
    </w:p>
    <w:p w:rsidR="002F6B39" w:rsidRPr="00AE78A3" w:rsidRDefault="002F6B39" w:rsidP="00AE78A3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</w:rPr>
      </w:pPr>
      <w:proofErr w:type="gramStart"/>
      <w:r w:rsidRPr="00AE78A3">
        <w:rPr>
          <w:rFonts w:ascii="Times New Roman" w:hAnsi="Times New Roman" w:cs="Times New Roman"/>
        </w:rPr>
        <w:t>- İsteklinin bir tüzel kişi olması halinde; şirketse Ticaret Odası kayıt belgesi ile Şirket İmza Sirküleri, tüzel kişi adına vek</w:t>
      </w:r>
      <w:r w:rsidR="00F80EDC" w:rsidRPr="00AE78A3">
        <w:rPr>
          <w:rFonts w:ascii="Times New Roman" w:hAnsi="Times New Roman" w:cs="Times New Roman"/>
        </w:rPr>
        <w:t>â</w:t>
      </w:r>
      <w:r w:rsidRPr="00AE78A3">
        <w:rPr>
          <w:rFonts w:ascii="Times New Roman" w:hAnsi="Times New Roman" w:cs="Times New Roman"/>
        </w:rPr>
        <w:t>leten teklifte bulunması durumunda teklifi yapacak kişi adına noter onaylı vek</w:t>
      </w:r>
      <w:r w:rsidR="00F80EDC" w:rsidRPr="00AE78A3">
        <w:rPr>
          <w:rFonts w:ascii="Times New Roman" w:hAnsi="Times New Roman" w:cs="Times New Roman"/>
        </w:rPr>
        <w:t>â</w:t>
      </w:r>
      <w:r w:rsidRPr="00AE78A3">
        <w:rPr>
          <w:rFonts w:ascii="Times New Roman" w:hAnsi="Times New Roman" w:cs="Times New Roman"/>
        </w:rPr>
        <w:t>letname ile imza beyannamesi; Dernek veya Vakıfsa taşınmaz mal satın alma yetkisini gösterir Genel Kurul Kararı ile teklifte bulunacak kişilerin yetki belgesinin noter onaylı suretini, imza beyannamesi,</w:t>
      </w:r>
      <w:proofErr w:type="gramEnd"/>
    </w:p>
    <w:p w:rsidR="002F6B39" w:rsidRPr="00AE78A3" w:rsidRDefault="002F6B39" w:rsidP="00AE78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E78A3">
        <w:rPr>
          <w:rFonts w:ascii="Times New Roman" w:hAnsi="Times New Roman" w:cs="Times New Roman"/>
        </w:rPr>
        <w:t xml:space="preserve">- İstekli gerçek kişi ise; Ticaret ve Sanayi Odası veya Esnaf ve </w:t>
      </w:r>
      <w:proofErr w:type="gramStart"/>
      <w:r w:rsidRPr="00AE78A3">
        <w:rPr>
          <w:rFonts w:ascii="Times New Roman" w:hAnsi="Times New Roman" w:cs="Times New Roman"/>
        </w:rPr>
        <w:t>Sanatkarlar</w:t>
      </w:r>
      <w:proofErr w:type="gramEnd"/>
      <w:r w:rsidRPr="00AE78A3">
        <w:rPr>
          <w:rFonts w:ascii="Times New Roman" w:hAnsi="Times New Roman" w:cs="Times New Roman"/>
        </w:rPr>
        <w:t xml:space="preserve"> Odası kayıt belgesi,</w:t>
      </w:r>
    </w:p>
    <w:p w:rsidR="002F6B39" w:rsidRPr="00AE78A3" w:rsidRDefault="002F6B39" w:rsidP="00AE78A3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AE78A3">
        <w:rPr>
          <w:rFonts w:ascii="Times New Roman" w:hAnsi="Times New Roman" w:cs="Times New Roman"/>
        </w:rPr>
        <w:t xml:space="preserve">Noter tasdikli imza sirküleri, istekli adına </w:t>
      </w:r>
      <w:proofErr w:type="gramStart"/>
      <w:r w:rsidRPr="00AE78A3">
        <w:rPr>
          <w:rFonts w:ascii="Times New Roman" w:hAnsi="Times New Roman" w:cs="Times New Roman"/>
        </w:rPr>
        <w:t>vekaleten</w:t>
      </w:r>
      <w:proofErr w:type="gramEnd"/>
      <w:r w:rsidRPr="00AE78A3">
        <w:rPr>
          <w:rFonts w:ascii="Times New Roman" w:hAnsi="Times New Roman" w:cs="Times New Roman"/>
        </w:rPr>
        <w:t xml:space="preserve"> iştirak ediliyorsa iştirak edenin noter tasdikli vekaletname ile imza beyannamesi,</w:t>
      </w:r>
    </w:p>
    <w:p w:rsidR="002F6B39" w:rsidRPr="00AE78A3" w:rsidRDefault="002F6B39" w:rsidP="00AE78A3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AE78A3">
        <w:rPr>
          <w:rFonts w:ascii="Times New Roman" w:hAnsi="Times New Roman" w:cs="Times New Roman"/>
        </w:rPr>
        <w:t xml:space="preserve">- İstekli, bir ortaklık olduğu takdirde, noter tasdikli ortak girişim beyannamesi, ortaklık sözleşmesi ile ortak girişimi oluşturanların imza sirküleri ve ortaklık adına teklifte bulunacak kimselerin bu ortaklığın vekili olduğunu gösterir Noterlikten onaylı </w:t>
      </w:r>
      <w:proofErr w:type="gramStart"/>
      <w:r w:rsidRPr="00AE78A3">
        <w:rPr>
          <w:rFonts w:ascii="Times New Roman" w:hAnsi="Times New Roman" w:cs="Times New Roman"/>
        </w:rPr>
        <w:t>vekaletname</w:t>
      </w:r>
      <w:proofErr w:type="gramEnd"/>
      <w:r w:rsidRPr="00AE78A3">
        <w:rPr>
          <w:rFonts w:ascii="Times New Roman" w:hAnsi="Times New Roman" w:cs="Times New Roman"/>
        </w:rPr>
        <w:t xml:space="preserve"> ve imza beyannamesi, şirket ortaklarının yekdiğerinin taahhüt ve zimmetine karşılık müşterek ve müteselsil kefil olduğunu belirtir Noterden tanzim edilmiş bir belge,</w:t>
      </w:r>
    </w:p>
    <w:p w:rsidR="002F6B39" w:rsidRPr="00AE78A3" w:rsidRDefault="002F6B39" w:rsidP="00AE78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E78A3">
        <w:rPr>
          <w:rFonts w:ascii="Times New Roman" w:hAnsi="Times New Roman" w:cs="Times New Roman"/>
        </w:rPr>
        <w:t>- Tahmini Bed</w:t>
      </w:r>
      <w:r w:rsidR="001C3867">
        <w:rPr>
          <w:rFonts w:ascii="Times New Roman" w:hAnsi="Times New Roman" w:cs="Times New Roman"/>
        </w:rPr>
        <w:t>elin %</w:t>
      </w:r>
      <w:r w:rsidRPr="00AE78A3">
        <w:rPr>
          <w:rFonts w:ascii="Times New Roman" w:hAnsi="Times New Roman" w:cs="Times New Roman"/>
        </w:rPr>
        <w:t>3(</w:t>
      </w:r>
      <w:proofErr w:type="spellStart"/>
      <w:r w:rsidRPr="00AE78A3">
        <w:rPr>
          <w:rFonts w:ascii="Times New Roman" w:hAnsi="Times New Roman" w:cs="Times New Roman"/>
        </w:rPr>
        <w:t>yüzdeüç</w:t>
      </w:r>
      <w:proofErr w:type="spellEnd"/>
      <w:r w:rsidRPr="00AE78A3">
        <w:rPr>
          <w:rFonts w:ascii="Times New Roman" w:hAnsi="Times New Roman" w:cs="Times New Roman"/>
        </w:rPr>
        <w:t>) ‘ü oranında geçici teminata ilişkin belge,</w:t>
      </w:r>
    </w:p>
    <w:p w:rsidR="002F6B39" w:rsidRPr="00AE78A3" w:rsidRDefault="002F6B39" w:rsidP="00AE78A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AE78A3">
        <w:rPr>
          <w:rFonts w:ascii="Times New Roman" w:hAnsi="Times New Roman" w:cs="Times New Roman"/>
        </w:rPr>
        <w:t>- İhale dosyasının İdareden satın alındığına dair dosya alındısı makbuzunun aslı,</w:t>
      </w:r>
    </w:p>
    <w:p w:rsidR="002F6B39" w:rsidRPr="00AE78A3" w:rsidRDefault="002F6B39" w:rsidP="00AE78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E78A3">
        <w:rPr>
          <w:rFonts w:ascii="Times New Roman" w:hAnsi="Times New Roman" w:cs="Times New Roman"/>
        </w:rPr>
        <w:lastRenderedPageBreak/>
        <w:t xml:space="preserve">- Gelir ve kurumlar vergisi borcu bulunmadığına veya yapılandırma yapıldığına dair belge, </w:t>
      </w:r>
    </w:p>
    <w:p w:rsidR="002F6B39" w:rsidRPr="00AE78A3" w:rsidRDefault="002F6B39" w:rsidP="00AE78A3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AE78A3">
        <w:rPr>
          <w:rFonts w:ascii="Times New Roman" w:hAnsi="Times New Roman" w:cs="Times New Roman"/>
        </w:rPr>
        <w:t>- İhale konusu taşınmazın yerinde görüldüğüne dair Özel Projeler ve Dönüşüm Dairesi Başkanlığı’ndan alınacak yer gördü belgesi,</w:t>
      </w:r>
    </w:p>
    <w:p w:rsidR="002F6B39" w:rsidRPr="00AE78A3" w:rsidRDefault="002F6B39" w:rsidP="00AE78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E78A3">
        <w:rPr>
          <w:rFonts w:ascii="Times New Roman" w:hAnsi="Times New Roman" w:cs="Times New Roman"/>
        </w:rPr>
        <w:t xml:space="preserve">- Taahhüt durumu bildirisi ve buna ait belgeler: </w:t>
      </w:r>
    </w:p>
    <w:p w:rsidR="002F6B39" w:rsidRPr="00AE78A3" w:rsidRDefault="002F6B39" w:rsidP="00AE78A3">
      <w:pPr>
        <w:pStyle w:val="GvdeMetni"/>
        <w:ind w:left="1416"/>
        <w:rPr>
          <w:rFonts w:eastAsia="Calibri"/>
          <w:sz w:val="22"/>
          <w:szCs w:val="22"/>
        </w:rPr>
      </w:pPr>
      <w:r w:rsidRPr="00AE78A3">
        <w:rPr>
          <w:rFonts w:eastAsia="Calibri"/>
          <w:sz w:val="22"/>
          <w:szCs w:val="22"/>
        </w:rPr>
        <w:t xml:space="preserve">• Son 10 yıl içerisinde sözleşmeye dayalı yapılan işlerin toplamı, işin tahmini bedelinin en </w:t>
      </w:r>
      <w:r w:rsidR="001C3867">
        <w:rPr>
          <w:rFonts w:eastAsia="Calibri"/>
          <w:sz w:val="22"/>
          <w:szCs w:val="22"/>
        </w:rPr>
        <w:t xml:space="preserve">az %20’si kadar, Çevre, </w:t>
      </w:r>
      <w:r w:rsidRPr="00AE78A3">
        <w:rPr>
          <w:rFonts w:eastAsia="Calibri"/>
          <w:sz w:val="22"/>
          <w:szCs w:val="22"/>
        </w:rPr>
        <w:t xml:space="preserve">Şehircilik ve İklim Değişikliği Bakanlığı, Yapı Yaklaşık Maliyetleri Hakkındaki Tebliğinde belirtilen III-B ve üzeri gruplarda tanımlı yapılara uygun iş bitirme belgesi veya Kamu İhale Kurumunun Yapım işlerinde Benzer iş grupları </w:t>
      </w:r>
      <w:proofErr w:type="gramStart"/>
      <w:r w:rsidRPr="00AE78A3">
        <w:rPr>
          <w:rFonts w:eastAsia="Calibri"/>
          <w:sz w:val="22"/>
          <w:szCs w:val="22"/>
        </w:rPr>
        <w:t>tebliği  B</w:t>
      </w:r>
      <w:proofErr w:type="gramEnd"/>
      <w:r w:rsidRPr="00AE78A3">
        <w:rPr>
          <w:rFonts w:eastAsia="Calibri"/>
          <w:sz w:val="22"/>
          <w:szCs w:val="22"/>
        </w:rPr>
        <w:t xml:space="preserve"> Üst Yapı Bina İşlerine ait iş bitirme belgesi</w:t>
      </w:r>
    </w:p>
    <w:p w:rsidR="002F6B39" w:rsidRPr="00AE78A3" w:rsidRDefault="002F6B39" w:rsidP="00AE78A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E78A3">
        <w:rPr>
          <w:rFonts w:ascii="Times New Roman" w:hAnsi="Times New Roman" w:cs="Times New Roman"/>
        </w:rPr>
        <w:tab/>
      </w:r>
      <w:r w:rsidRPr="00AE78A3">
        <w:rPr>
          <w:rFonts w:ascii="Times New Roman" w:hAnsi="Times New Roman" w:cs="Times New Roman"/>
        </w:rPr>
        <w:tab/>
        <w:t>• SGK borcu / Vergi borcu olmadığına veya yapılandırma yapıldığına dair belge</w:t>
      </w:r>
    </w:p>
    <w:p w:rsidR="002F6B39" w:rsidRPr="00AE78A3" w:rsidRDefault="002F6B39" w:rsidP="00AE78A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E78A3">
        <w:rPr>
          <w:rFonts w:ascii="Times New Roman" w:hAnsi="Times New Roman" w:cs="Times New Roman"/>
        </w:rPr>
        <w:tab/>
      </w:r>
      <w:r w:rsidRPr="00AE78A3">
        <w:rPr>
          <w:rFonts w:ascii="Times New Roman" w:hAnsi="Times New Roman" w:cs="Times New Roman"/>
        </w:rPr>
        <w:tab/>
        <w:t>• Faaliyet süresi ile ilgili beyan ve belgeler</w:t>
      </w:r>
    </w:p>
    <w:p w:rsidR="002F6B39" w:rsidRPr="00AE78A3" w:rsidRDefault="002F6B39" w:rsidP="00AE78A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AE78A3">
        <w:rPr>
          <w:rFonts w:ascii="Times New Roman" w:hAnsi="Times New Roman" w:cs="Times New Roman"/>
        </w:rPr>
        <w:tab/>
      </w:r>
      <w:r w:rsidRPr="00AE78A3">
        <w:rPr>
          <w:rFonts w:ascii="Times New Roman" w:hAnsi="Times New Roman" w:cs="Times New Roman"/>
        </w:rPr>
        <w:tab/>
        <w:t>• 2886 Sayılı Devlet ihale Kanuna göre yasaklı olmadığına dair belge</w:t>
      </w:r>
    </w:p>
    <w:p w:rsidR="001459A1" w:rsidRPr="00AE78A3" w:rsidRDefault="002F6B39" w:rsidP="00AE78A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AE78A3">
        <w:rPr>
          <w:rFonts w:ascii="Times New Roman" w:hAnsi="Times New Roman" w:cs="Times New Roman"/>
        </w:rPr>
        <w:t>• Bilanço Bilgileri Tablosu</w:t>
      </w:r>
      <w:r w:rsidR="001459A1" w:rsidRPr="00AE78A3">
        <w:rPr>
          <w:rFonts w:ascii="Times New Roman" w:hAnsi="Times New Roman" w:cs="Times New Roman"/>
        </w:rPr>
        <w:t xml:space="preserve"> (Son 3 yıl içindeki bir </w:t>
      </w:r>
      <w:proofErr w:type="gramStart"/>
      <w:r w:rsidR="001459A1" w:rsidRPr="00AE78A3">
        <w:rPr>
          <w:rFonts w:ascii="Times New Roman" w:hAnsi="Times New Roman" w:cs="Times New Roman"/>
        </w:rPr>
        <w:t>yılda,</w:t>
      </w:r>
      <w:proofErr w:type="gramEnd"/>
      <w:r w:rsidR="001459A1" w:rsidRPr="00AE78A3">
        <w:rPr>
          <w:rFonts w:ascii="Times New Roman" w:hAnsi="Times New Roman" w:cs="Times New Roman"/>
        </w:rPr>
        <w:t xml:space="preserve"> veya oranları sağlayacak şekilde son 3 yıl içerisindeki 2 yılın ortalaması 2 yılın ortalaması veya son 3 yılın ortalaması olarak da sunulabilir</w:t>
      </w:r>
      <w:r w:rsidR="00976600" w:rsidRPr="00AE78A3">
        <w:rPr>
          <w:rFonts w:ascii="Times New Roman" w:hAnsi="Times New Roman" w:cs="Times New Roman"/>
        </w:rPr>
        <w:t>.</w:t>
      </w:r>
      <w:r w:rsidR="001459A1" w:rsidRPr="00AE78A3">
        <w:rPr>
          <w:rFonts w:ascii="Times New Roman" w:hAnsi="Times New Roman" w:cs="Times New Roman"/>
        </w:rPr>
        <w:t xml:space="preserve">) </w:t>
      </w:r>
    </w:p>
    <w:p w:rsidR="001459A1" w:rsidRPr="00AE78A3" w:rsidRDefault="001459A1" w:rsidP="00AE78A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E78A3">
        <w:rPr>
          <w:rFonts w:ascii="Times New Roman" w:hAnsi="Times New Roman" w:cs="Times New Roman"/>
        </w:rPr>
        <w:tab/>
      </w:r>
      <w:r w:rsidRPr="00AE78A3">
        <w:rPr>
          <w:rFonts w:ascii="Times New Roman" w:hAnsi="Times New Roman" w:cs="Times New Roman"/>
        </w:rPr>
        <w:tab/>
      </w:r>
      <w:r w:rsidRPr="00AE78A3">
        <w:rPr>
          <w:rFonts w:ascii="Times New Roman" w:hAnsi="Times New Roman" w:cs="Times New Roman"/>
        </w:rPr>
        <w:tab/>
        <w:t xml:space="preserve">* Cirosu yaklaşık maliyetin % </w:t>
      </w:r>
      <w:r w:rsidR="00FE07BF">
        <w:rPr>
          <w:rFonts w:ascii="Times New Roman" w:hAnsi="Times New Roman" w:cs="Times New Roman"/>
        </w:rPr>
        <w:t>1</w:t>
      </w:r>
      <w:r w:rsidRPr="00AE78A3">
        <w:rPr>
          <w:rFonts w:ascii="Times New Roman" w:hAnsi="Times New Roman" w:cs="Times New Roman"/>
        </w:rPr>
        <w:t>5 inden az olmaması</w:t>
      </w:r>
    </w:p>
    <w:p w:rsidR="001459A1" w:rsidRPr="00AE78A3" w:rsidRDefault="001459A1" w:rsidP="00AE78A3">
      <w:pPr>
        <w:pStyle w:val="GvdeMetni"/>
        <w:ind w:left="1416" w:firstLine="708"/>
        <w:rPr>
          <w:rFonts w:eastAsia="Calibri"/>
          <w:sz w:val="22"/>
          <w:szCs w:val="22"/>
        </w:rPr>
      </w:pPr>
      <w:r w:rsidRPr="00AE78A3">
        <w:rPr>
          <w:rFonts w:eastAsia="Calibri"/>
          <w:sz w:val="22"/>
          <w:szCs w:val="22"/>
        </w:rPr>
        <w:t xml:space="preserve">* Dönen varlıklar / Kısa vadeli borçlar oranı en az 0,75 olması </w:t>
      </w:r>
    </w:p>
    <w:p w:rsidR="001459A1" w:rsidRPr="00AE78A3" w:rsidRDefault="001459A1" w:rsidP="00AE78A3">
      <w:pPr>
        <w:pStyle w:val="GvdeMetni"/>
        <w:ind w:left="1416" w:firstLine="708"/>
        <w:rPr>
          <w:rFonts w:eastAsia="Calibri"/>
          <w:sz w:val="22"/>
          <w:szCs w:val="22"/>
        </w:rPr>
      </w:pPr>
      <w:r w:rsidRPr="00AE78A3">
        <w:rPr>
          <w:rFonts w:eastAsia="Calibri"/>
          <w:sz w:val="22"/>
          <w:szCs w:val="22"/>
        </w:rPr>
        <w:t xml:space="preserve">* </w:t>
      </w:r>
      <w:proofErr w:type="spellStart"/>
      <w:r w:rsidRPr="00AE78A3">
        <w:rPr>
          <w:rFonts w:eastAsia="Calibri"/>
          <w:sz w:val="22"/>
          <w:szCs w:val="22"/>
        </w:rPr>
        <w:t>Özkaynaklar</w:t>
      </w:r>
      <w:proofErr w:type="spellEnd"/>
      <w:r w:rsidRPr="00AE78A3">
        <w:rPr>
          <w:rFonts w:eastAsia="Calibri"/>
          <w:sz w:val="22"/>
          <w:szCs w:val="22"/>
        </w:rPr>
        <w:t xml:space="preserve"> / Toplam aktifler oranı en az 0,15 olması</w:t>
      </w:r>
    </w:p>
    <w:p w:rsidR="001459A1" w:rsidRPr="00AE78A3" w:rsidRDefault="001459A1" w:rsidP="00AE78A3">
      <w:pPr>
        <w:pStyle w:val="GvdeMetni"/>
        <w:rPr>
          <w:rFonts w:eastAsia="Calibri"/>
          <w:sz w:val="22"/>
          <w:szCs w:val="22"/>
        </w:rPr>
      </w:pPr>
      <w:r w:rsidRPr="00AE78A3">
        <w:rPr>
          <w:rFonts w:eastAsia="Calibri"/>
          <w:sz w:val="22"/>
          <w:szCs w:val="22"/>
        </w:rPr>
        <w:tab/>
      </w:r>
      <w:r w:rsidRPr="00AE78A3">
        <w:rPr>
          <w:rFonts w:eastAsia="Calibri"/>
          <w:sz w:val="22"/>
          <w:szCs w:val="22"/>
        </w:rPr>
        <w:tab/>
      </w:r>
      <w:r w:rsidRPr="00AE78A3">
        <w:rPr>
          <w:rFonts w:eastAsia="Calibri"/>
          <w:sz w:val="22"/>
          <w:szCs w:val="22"/>
        </w:rPr>
        <w:tab/>
        <w:t xml:space="preserve">* Kısa vadeli banka borçları / </w:t>
      </w:r>
      <w:proofErr w:type="spellStart"/>
      <w:r w:rsidRPr="00AE78A3">
        <w:rPr>
          <w:rFonts w:eastAsia="Calibri"/>
          <w:sz w:val="22"/>
          <w:szCs w:val="22"/>
        </w:rPr>
        <w:t>özkaynaklar</w:t>
      </w:r>
      <w:proofErr w:type="spellEnd"/>
      <w:r w:rsidRPr="00AE78A3">
        <w:rPr>
          <w:rFonts w:eastAsia="Calibri"/>
          <w:sz w:val="22"/>
          <w:szCs w:val="22"/>
        </w:rPr>
        <w:t xml:space="preserve"> oranı 0,50’den küçük olması</w:t>
      </w:r>
    </w:p>
    <w:p w:rsidR="00FE07BF" w:rsidRDefault="00FE07BF" w:rsidP="00AE78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2D4" w:rsidRPr="006E4683" w:rsidRDefault="00F80EDC" w:rsidP="00AE78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4683">
        <w:rPr>
          <w:rFonts w:ascii="Times New Roman" w:hAnsi="Times New Roman" w:cs="Times New Roman"/>
        </w:rPr>
        <w:t xml:space="preserve">6- </w:t>
      </w:r>
      <w:r w:rsidR="002162D4" w:rsidRPr="006E4683">
        <w:rPr>
          <w:rFonts w:ascii="Times New Roman" w:hAnsi="Times New Roman" w:cs="Times New Roman"/>
        </w:rPr>
        <w:t xml:space="preserve">İsteklilerin, istenilen belgelerle birlikte teklif mektuplarını </w:t>
      </w:r>
      <w:r w:rsidR="002162D4" w:rsidRPr="006E4683">
        <w:rPr>
          <w:rFonts w:ascii="Times New Roman" w:hAnsi="Times New Roman" w:cs="Times New Roman"/>
          <w:b/>
        </w:rPr>
        <w:t xml:space="preserve">en geç ihale günü saat </w:t>
      </w:r>
      <w:r w:rsidR="00FE07BF" w:rsidRPr="006E4683">
        <w:rPr>
          <w:rFonts w:ascii="Times New Roman" w:hAnsi="Times New Roman" w:cs="Times New Roman"/>
          <w:b/>
        </w:rPr>
        <w:t>12</w:t>
      </w:r>
      <w:r w:rsidR="002162D4" w:rsidRPr="006E4683">
        <w:rPr>
          <w:rFonts w:ascii="Times New Roman" w:hAnsi="Times New Roman" w:cs="Times New Roman"/>
          <w:b/>
        </w:rPr>
        <w:t>.00’y</w:t>
      </w:r>
      <w:r w:rsidR="00FE07BF" w:rsidRPr="006E4683">
        <w:rPr>
          <w:rFonts w:ascii="Times New Roman" w:hAnsi="Times New Roman" w:cs="Times New Roman"/>
          <w:b/>
        </w:rPr>
        <w:t>e</w:t>
      </w:r>
      <w:r w:rsidR="002162D4" w:rsidRPr="006E4683">
        <w:rPr>
          <w:rFonts w:ascii="Times New Roman" w:hAnsi="Times New Roman" w:cs="Times New Roman"/>
        </w:rPr>
        <w:t xml:space="preserve"> kadar ihalenin yapılacağı İhale Komisyonu Encümen Başkanlığına, </w:t>
      </w:r>
      <w:r w:rsidR="002162D4" w:rsidRPr="006E4683">
        <w:rPr>
          <w:rFonts w:ascii="Times New Roman" w:hAnsi="Times New Roman" w:cs="Times New Roman"/>
          <w:b/>
        </w:rPr>
        <w:t>(Yazı İşleri ve Kararlar Dairesi Başk</w:t>
      </w:r>
      <w:bookmarkStart w:id="0" w:name="_GoBack"/>
      <w:bookmarkEnd w:id="0"/>
      <w:r w:rsidR="002162D4" w:rsidRPr="006E4683">
        <w:rPr>
          <w:rFonts w:ascii="Times New Roman" w:hAnsi="Times New Roman" w:cs="Times New Roman"/>
          <w:b/>
        </w:rPr>
        <w:t>anlığı Hipodrom Caddesi No:5 Kat:7 Yenimahalle/ANKARA)</w:t>
      </w:r>
      <w:r w:rsidR="002162D4" w:rsidRPr="006E4683">
        <w:rPr>
          <w:rFonts w:ascii="Times New Roman" w:hAnsi="Times New Roman" w:cs="Times New Roman"/>
        </w:rPr>
        <w:t xml:space="preserve"> makbuz karşılığında vermesi şarttır. Bu saatten sonra verilecek teklif mektupları veya herhangi bir neden</w:t>
      </w:r>
      <w:r w:rsidR="00AA3F69">
        <w:rPr>
          <w:rFonts w:ascii="Times New Roman" w:hAnsi="Times New Roman" w:cs="Times New Roman"/>
        </w:rPr>
        <w:t>den</w:t>
      </w:r>
      <w:r w:rsidR="002162D4" w:rsidRPr="006E4683">
        <w:rPr>
          <w:rFonts w:ascii="Times New Roman" w:hAnsi="Times New Roman" w:cs="Times New Roman"/>
        </w:rPr>
        <w:t xml:space="preserve"> dolayı postada meydana gelecek gecikmeler kabul edilmez.</w:t>
      </w:r>
    </w:p>
    <w:p w:rsidR="002162D4" w:rsidRPr="006E4683" w:rsidRDefault="00F80EDC" w:rsidP="00AE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4683">
        <w:rPr>
          <w:rFonts w:ascii="Times New Roman" w:hAnsi="Times New Roman" w:cs="Times New Roman"/>
          <w:b/>
        </w:rPr>
        <w:t>7</w:t>
      </w:r>
      <w:r w:rsidR="002162D4" w:rsidRPr="006E4683">
        <w:rPr>
          <w:rFonts w:ascii="Times New Roman" w:hAnsi="Times New Roman" w:cs="Times New Roman"/>
          <w:b/>
        </w:rPr>
        <w:t>-</w:t>
      </w:r>
      <w:r w:rsidR="002162D4" w:rsidRPr="006E4683">
        <w:rPr>
          <w:rFonts w:ascii="Times New Roman" w:hAnsi="Times New Roman" w:cs="Times New Roman"/>
        </w:rPr>
        <w:t xml:space="preserve"> İhale için verilecek teklif mektubunda belirtilecek meblağ, rakam ve yazı ile birbiriyle tutarlı ve okunaklı bir şekilde yazılacak</w:t>
      </w:r>
      <w:r w:rsidR="006123D6" w:rsidRPr="006E4683">
        <w:rPr>
          <w:rFonts w:ascii="Times New Roman" w:hAnsi="Times New Roman" w:cs="Times New Roman"/>
        </w:rPr>
        <w:t>t</w:t>
      </w:r>
      <w:r w:rsidR="002162D4" w:rsidRPr="006E4683">
        <w:rPr>
          <w:rFonts w:ascii="Times New Roman" w:hAnsi="Times New Roman" w:cs="Times New Roman"/>
        </w:rPr>
        <w:t>ır. Teklif mektubunda silinti, kazıntı olmayacak</w:t>
      </w:r>
      <w:r w:rsidR="00AA3F69">
        <w:rPr>
          <w:rFonts w:ascii="Times New Roman" w:hAnsi="Times New Roman" w:cs="Times New Roman"/>
        </w:rPr>
        <w:t>; düzeltme veya</w:t>
      </w:r>
      <w:r w:rsidR="002162D4" w:rsidRPr="006E4683">
        <w:rPr>
          <w:rFonts w:ascii="Times New Roman" w:hAnsi="Times New Roman" w:cs="Times New Roman"/>
        </w:rPr>
        <w:t xml:space="preserve"> karalama yapı</w:t>
      </w:r>
      <w:r w:rsidR="008D4086" w:rsidRPr="006E4683">
        <w:rPr>
          <w:rFonts w:ascii="Times New Roman" w:hAnsi="Times New Roman" w:cs="Times New Roman"/>
        </w:rPr>
        <w:t>lm</w:t>
      </w:r>
      <w:r w:rsidR="002162D4" w:rsidRPr="006E4683">
        <w:rPr>
          <w:rFonts w:ascii="Times New Roman" w:hAnsi="Times New Roman" w:cs="Times New Roman"/>
        </w:rPr>
        <w:t>amış olacaktır.</w:t>
      </w:r>
    </w:p>
    <w:p w:rsidR="00F9300B" w:rsidRPr="006E4683" w:rsidRDefault="00F80EDC" w:rsidP="00AE78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4683">
        <w:rPr>
          <w:rFonts w:ascii="Times New Roman" w:hAnsi="Times New Roman" w:cs="Times New Roman"/>
          <w:b/>
        </w:rPr>
        <w:t>8</w:t>
      </w:r>
      <w:r w:rsidR="002162D4" w:rsidRPr="006E4683">
        <w:rPr>
          <w:rFonts w:ascii="Times New Roman" w:hAnsi="Times New Roman" w:cs="Times New Roman"/>
          <w:b/>
        </w:rPr>
        <w:t>-</w:t>
      </w:r>
      <w:r w:rsidR="002162D4" w:rsidRPr="006E4683">
        <w:rPr>
          <w:rFonts w:ascii="Times New Roman" w:hAnsi="Times New Roman" w:cs="Times New Roman"/>
        </w:rPr>
        <w:t xml:space="preserve"> İşbu ihale ilanı genel bilgi niteliğinde olup,</w:t>
      </w:r>
      <w:r w:rsidR="008D4086" w:rsidRPr="006E4683">
        <w:rPr>
          <w:rFonts w:ascii="Times New Roman" w:hAnsi="Times New Roman" w:cs="Times New Roman"/>
        </w:rPr>
        <w:t xml:space="preserve"> kat karşılığı inşaat yaptırılması işinde, İhale İdari Şartnamesi ve eklerindeki hükümler uygulanacaktır.</w:t>
      </w:r>
    </w:p>
    <w:p w:rsidR="008D4086" w:rsidRPr="00AE78A3" w:rsidRDefault="00F80EDC" w:rsidP="00AE78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4683">
        <w:rPr>
          <w:rFonts w:ascii="Times New Roman" w:hAnsi="Times New Roman" w:cs="Times New Roman"/>
        </w:rPr>
        <w:t>9</w:t>
      </w:r>
      <w:r w:rsidR="008D4086" w:rsidRPr="006E4683">
        <w:rPr>
          <w:rFonts w:ascii="Times New Roman" w:hAnsi="Times New Roman" w:cs="Times New Roman"/>
        </w:rPr>
        <w:t xml:space="preserve">- Bu işin şartnamesi </w:t>
      </w:r>
      <w:r w:rsidR="008C7A1A" w:rsidRPr="006E4683">
        <w:rPr>
          <w:rFonts w:ascii="Times New Roman" w:hAnsi="Times New Roman" w:cs="Times New Roman"/>
          <w:b/>
        </w:rPr>
        <w:t>500,00 TL (</w:t>
      </w:r>
      <w:proofErr w:type="spellStart"/>
      <w:r w:rsidR="006A2F24" w:rsidRPr="006E4683">
        <w:rPr>
          <w:rFonts w:ascii="Times New Roman" w:hAnsi="Times New Roman" w:cs="Times New Roman"/>
          <w:b/>
        </w:rPr>
        <w:t>BeşYüz</w:t>
      </w:r>
      <w:proofErr w:type="spellEnd"/>
      <w:r w:rsidR="006A2F24" w:rsidRPr="006E4683">
        <w:rPr>
          <w:rFonts w:ascii="Times New Roman" w:hAnsi="Times New Roman" w:cs="Times New Roman"/>
          <w:b/>
        </w:rPr>
        <w:t xml:space="preserve"> </w:t>
      </w:r>
      <w:r w:rsidR="008D4086" w:rsidRPr="006E4683">
        <w:rPr>
          <w:rFonts w:ascii="Times New Roman" w:hAnsi="Times New Roman" w:cs="Times New Roman"/>
          <w:b/>
        </w:rPr>
        <w:t>Türk Lirası)</w:t>
      </w:r>
      <w:r w:rsidR="008D4086" w:rsidRPr="006E4683">
        <w:rPr>
          <w:rFonts w:ascii="Times New Roman" w:hAnsi="Times New Roman" w:cs="Times New Roman"/>
        </w:rPr>
        <w:t xml:space="preserve"> bedel karşılığında, </w:t>
      </w:r>
      <w:r w:rsidR="006E4683" w:rsidRPr="006E4683">
        <w:rPr>
          <w:rFonts w:ascii="Times New Roman" w:hAnsi="Times New Roman" w:cs="Times New Roman"/>
          <w:b/>
        </w:rPr>
        <w:t>1</w:t>
      </w:r>
      <w:r w:rsidR="00ED40A1">
        <w:rPr>
          <w:rFonts w:ascii="Times New Roman" w:hAnsi="Times New Roman" w:cs="Times New Roman"/>
          <w:b/>
        </w:rPr>
        <w:t>5</w:t>
      </w:r>
      <w:r w:rsidR="00E370B0" w:rsidRPr="006E4683">
        <w:rPr>
          <w:rFonts w:ascii="Times New Roman" w:hAnsi="Times New Roman" w:cs="Times New Roman"/>
          <w:b/>
        </w:rPr>
        <w:t>.0</w:t>
      </w:r>
      <w:r w:rsidR="006E4683" w:rsidRPr="006E4683">
        <w:rPr>
          <w:rFonts w:ascii="Times New Roman" w:hAnsi="Times New Roman" w:cs="Times New Roman"/>
          <w:b/>
        </w:rPr>
        <w:t>2</w:t>
      </w:r>
      <w:r w:rsidR="00E370B0" w:rsidRPr="006E4683">
        <w:rPr>
          <w:rFonts w:ascii="Times New Roman" w:hAnsi="Times New Roman" w:cs="Times New Roman"/>
          <w:b/>
        </w:rPr>
        <w:t xml:space="preserve">.2023 </w:t>
      </w:r>
      <w:r w:rsidR="00ED40A1">
        <w:rPr>
          <w:rFonts w:ascii="Times New Roman" w:hAnsi="Times New Roman" w:cs="Times New Roman"/>
          <w:b/>
        </w:rPr>
        <w:t>Çarşamba</w:t>
      </w:r>
      <w:r w:rsidR="008D4086" w:rsidRPr="006E4683">
        <w:rPr>
          <w:rFonts w:ascii="Times New Roman" w:hAnsi="Times New Roman" w:cs="Times New Roman"/>
          <w:b/>
        </w:rPr>
        <w:t xml:space="preserve"> günü saat </w:t>
      </w:r>
      <w:r w:rsidR="006E4683" w:rsidRPr="006E4683">
        <w:rPr>
          <w:rFonts w:ascii="Times New Roman" w:hAnsi="Times New Roman" w:cs="Times New Roman"/>
          <w:b/>
        </w:rPr>
        <w:t>1</w:t>
      </w:r>
      <w:r w:rsidR="00ED40A1">
        <w:rPr>
          <w:rFonts w:ascii="Times New Roman" w:hAnsi="Times New Roman" w:cs="Times New Roman"/>
          <w:b/>
        </w:rPr>
        <w:t>6</w:t>
      </w:r>
      <w:r w:rsidR="008D4086" w:rsidRPr="006E4683">
        <w:rPr>
          <w:rFonts w:ascii="Times New Roman" w:hAnsi="Times New Roman" w:cs="Times New Roman"/>
          <w:b/>
        </w:rPr>
        <w:t>.00</w:t>
      </w:r>
      <w:r w:rsidR="00ED40A1">
        <w:rPr>
          <w:rFonts w:ascii="Times New Roman" w:hAnsi="Times New Roman" w:cs="Times New Roman"/>
        </w:rPr>
        <w:t>’ya</w:t>
      </w:r>
      <w:r w:rsidR="008D4086" w:rsidRPr="006E4683">
        <w:rPr>
          <w:rFonts w:ascii="Times New Roman" w:hAnsi="Times New Roman" w:cs="Times New Roman"/>
        </w:rPr>
        <w:t xml:space="preserve"> kadar Özel Projeler ve Dönüşüm Dairesi Başkanlığı Proje Geliştirme Şube Müdürlüğü Hipodrom Caddesi No:5 Kat:15 Yenimahalle/ANKARA adresinden temin edilebilecektir.</w:t>
      </w:r>
    </w:p>
    <w:p w:rsidR="008D4086" w:rsidRPr="008D4086" w:rsidRDefault="008D4086" w:rsidP="00AE78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086" w:rsidRPr="008D4086" w:rsidRDefault="008D4086" w:rsidP="008D40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4086">
        <w:rPr>
          <w:rFonts w:ascii="Times New Roman" w:hAnsi="Times New Roman" w:cs="Times New Roman"/>
          <w:b/>
        </w:rPr>
        <w:t>İLAN OLUNUR</w:t>
      </w:r>
    </w:p>
    <w:p w:rsidR="00F9300B" w:rsidRPr="00F9300B" w:rsidRDefault="00F9300B" w:rsidP="00F9300B">
      <w:pPr>
        <w:spacing w:after="0" w:line="240" w:lineRule="auto"/>
        <w:jc w:val="both"/>
        <w:rPr>
          <w:rFonts w:ascii="Times New Roman" w:hAnsi="Times New Roman"/>
        </w:rPr>
      </w:pPr>
    </w:p>
    <w:p w:rsidR="005D5EB8" w:rsidRPr="00ED34B2" w:rsidRDefault="005D5EB8" w:rsidP="0097660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D34B2">
        <w:rPr>
          <w:rFonts w:ascii="Times New Roman" w:hAnsi="Times New Roman"/>
        </w:rPr>
        <w:t xml:space="preserve">      </w:t>
      </w:r>
    </w:p>
    <w:p w:rsidR="005D5EB8" w:rsidRPr="00ED34B2" w:rsidRDefault="005D5EB8" w:rsidP="005D5EB8">
      <w:pPr>
        <w:spacing w:after="0" w:line="240" w:lineRule="auto"/>
        <w:ind w:left="792"/>
        <w:contextualSpacing/>
        <w:jc w:val="both"/>
        <w:rPr>
          <w:rFonts w:ascii="Times New Roman" w:hAnsi="Times New Roman"/>
        </w:rPr>
      </w:pPr>
    </w:p>
    <w:p w:rsidR="005D5EB8" w:rsidRPr="00ED34B2" w:rsidRDefault="005D5EB8" w:rsidP="005D5EB8">
      <w:pPr>
        <w:spacing w:after="0" w:line="240" w:lineRule="auto"/>
        <w:ind w:left="792"/>
        <w:contextualSpacing/>
        <w:jc w:val="both"/>
        <w:rPr>
          <w:rFonts w:ascii="Times New Roman" w:hAnsi="Times New Roman"/>
        </w:rPr>
      </w:pPr>
      <w:r w:rsidRPr="00ED34B2">
        <w:rPr>
          <w:rFonts w:ascii="Times New Roman" w:hAnsi="Times New Roman"/>
        </w:rPr>
        <w:t xml:space="preserve">      </w:t>
      </w:r>
    </w:p>
    <w:p w:rsidR="005D5EB8" w:rsidRPr="0027138C" w:rsidRDefault="005D5EB8" w:rsidP="005D5EB8">
      <w:pPr>
        <w:pStyle w:val="ortabalkbold"/>
        <w:spacing w:before="0" w:beforeAutospacing="0" w:after="0" w:afterAutospacing="0"/>
      </w:pPr>
    </w:p>
    <w:sectPr w:rsidR="005D5EB8" w:rsidRPr="0027138C" w:rsidSect="008B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2DC"/>
    <w:multiLevelType w:val="hybridMultilevel"/>
    <w:tmpl w:val="F748386A"/>
    <w:lvl w:ilvl="0" w:tplc="D294171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82B"/>
    <w:multiLevelType w:val="hybridMultilevel"/>
    <w:tmpl w:val="2F926464"/>
    <w:lvl w:ilvl="0" w:tplc="CF9C409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D05C9"/>
    <w:multiLevelType w:val="hybridMultilevel"/>
    <w:tmpl w:val="4E883542"/>
    <w:lvl w:ilvl="0" w:tplc="A8E85E22">
      <w:start w:val="2"/>
      <w:numFmt w:val="decimal"/>
      <w:lvlText w:val="%1."/>
      <w:lvlJc w:val="left"/>
      <w:pPr>
        <w:ind w:left="914" w:hanging="273"/>
      </w:pPr>
      <w:rPr>
        <w:rFonts w:hint="default"/>
        <w:w w:val="94"/>
        <w:lang w:val="tr-TR" w:eastAsia="en-US" w:bidi="ar-SA"/>
      </w:rPr>
    </w:lvl>
    <w:lvl w:ilvl="1" w:tplc="CF3E0882">
      <w:numFmt w:val="bullet"/>
      <w:lvlText w:val="•"/>
      <w:lvlJc w:val="left"/>
      <w:pPr>
        <w:ind w:left="2180" w:hanging="273"/>
      </w:pPr>
      <w:rPr>
        <w:rFonts w:hint="default"/>
        <w:lang w:val="tr-TR" w:eastAsia="en-US" w:bidi="ar-SA"/>
      </w:rPr>
    </w:lvl>
    <w:lvl w:ilvl="2" w:tplc="CC183060">
      <w:numFmt w:val="bullet"/>
      <w:lvlText w:val="•"/>
      <w:lvlJc w:val="left"/>
      <w:pPr>
        <w:ind w:left="3056" w:hanging="273"/>
      </w:pPr>
      <w:rPr>
        <w:rFonts w:hint="default"/>
        <w:lang w:val="tr-TR" w:eastAsia="en-US" w:bidi="ar-SA"/>
      </w:rPr>
    </w:lvl>
    <w:lvl w:ilvl="3" w:tplc="580ACE2E">
      <w:numFmt w:val="bullet"/>
      <w:lvlText w:val="•"/>
      <w:lvlJc w:val="left"/>
      <w:pPr>
        <w:ind w:left="3933" w:hanging="273"/>
      </w:pPr>
      <w:rPr>
        <w:rFonts w:hint="default"/>
        <w:lang w:val="tr-TR" w:eastAsia="en-US" w:bidi="ar-SA"/>
      </w:rPr>
    </w:lvl>
    <w:lvl w:ilvl="4" w:tplc="42285C9E">
      <w:numFmt w:val="bullet"/>
      <w:lvlText w:val="•"/>
      <w:lvlJc w:val="left"/>
      <w:pPr>
        <w:ind w:left="4810" w:hanging="273"/>
      </w:pPr>
      <w:rPr>
        <w:rFonts w:hint="default"/>
        <w:lang w:val="tr-TR" w:eastAsia="en-US" w:bidi="ar-SA"/>
      </w:rPr>
    </w:lvl>
    <w:lvl w:ilvl="5" w:tplc="7704620A">
      <w:numFmt w:val="bullet"/>
      <w:lvlText w:val="•"/>
      <w:lvlJc w:val="left"/>
      <w:pPr>
        <w:ind w:left="5687" w:hanging="273"/>
      </w:pPr>
      <w:rPr>
        <w:rFonts w:hint="default"/>
        <w:lang w:val="tr-TR" w:eastAsia="en-US" w:bidi="ar-SA"/>
      </w:rPr>
    </w:lvl>
    <w:lvl w:ilvl="6" w:tplc="B44419E2">
      <w:numFmt w:val="bullet"/>
      <w:lvlText w:val="•"/>
      <w:lvlJc w:val="left"/>
      <w:pPr>
        <w:ind w:left="6564" w:hanging="273"/>
      </w:pPr>
      <w:rPr>
        <w:rFonts w:hint="default"/>
        <w:lang w:val="tr-TR" w:eastAsia="en-US" w:bidi="ar-SA"/>
      </w:rPr>
    </w:lvl>
    <w:lvl w:ilvl="7" w:tplc="3A8ECED0">
      <w:numFmt w:val="bullet"/>
      <w:lvlText w:val="•"/>
      <w:lvlJc w:val="left"/>
      <w:pPr>
        <w:ind w:left="7441" w:hanging="273"/>
      </w:pPr>
      <w:rPr>
        <w:rFonts w:hint="default"/>
        <w:lang w:val="tr-TR" w:eastAsia="en-US" w:bidi="ar-SA"/>
      </w:rPr>
    </w:lvl>
    <w:lvl w:ilvl="8" w:tplc="84EE0AD8">
      <w:numFmt w:val="bullet"/>
      <w:lvlText w:val="•"/>
      <w:lvlJc w:val="left"/>
      <w:pPr>
        <w:ind w:left="8318" w:hanging="273"/>
      </w:pPr>
      <w:rPr>
        <w:rFonts w:hint="default"/>
        <w:lang w:val="tr-TR" w:eastAsia="en-US" w:bidi="ar-SA"/>
      </w:rPr>
    </w:lvl>
  </w:abstractNum>
  <w:abstractNum w:abstractNumId="3" w15:restartNumberingAfterBreak="0">
    <w:nsid w:val="1936646F"/>
    <w:multiLevelType w:val="hybridMultilevel"/>
    <w:tmpl w:val="0CAEBD40"/>
    <w:lvl w:ilvl="0" w:tplc="D7CAE0FE">
      <w:start w:val="18"/>
      <w:numFmt w:val="lowerLetter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56682"/>
    <w:multiLevelType w:val="hybridMultilevel"/>
    <w:tmpl w:val="8F44AA2C"/>
    <w:lvl w:ilvl="0" w:tplc="D90AD06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522A2"/>
    <w:multiLevelType w:val="hybridMultilevel"/>
    <w:tmpl w:val="2084ADD6"/>
    <w:lvl w:ilvl="0" w:tplc="1F9AB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12162"/>
    <w:multiLevelType w:val="multilevel"/>
    <w:tmpl w:val="246CA7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7" w15:restartNumberingAfterBreak="0">
    <w:nsid w:val="63701BB2"/>
    <w:multiLevelType w:val="hybridMultilevel"/>
    <w:tmpl w:val="3EEAF31C"/>
    <w:lvl w:ilvl="0" w:tplc="C3A40788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8C"/>
    <w:rsid w:val="00060CB4"/>
    <w:rsid w:val="00134A56"/>
    <w:rsid w:val="001459A1"/>
    <w:rsid w:val="001C1ECE"/>
    <w:rsid w:val="001C3867"/>
    <w:rsid w:val="00202F0F"/>
    <w:rsid w:val="002162D4"/>
    <w:rsid w:val="0027138C"/>
    <w:rsid w:val="002F6B39"/>
    <w:rsid w:val="00344266"/>
    <w:rsid w:val="003C20F0"/>
    <w:rsid w:val="005937D8"/>
    <w:rsid w:val="005962EE"/>
    <w:rsid w:val="005A1992"/>
    <w:rsid w:val="005D2EAE"/>
    <w:rsid w:val="005D5EB8"/>
    <w:rsid w:val="006123D6"/>
    <w:rsid w:val="006272F0"/>
    <w:rsid w:val="006A2F24"/>
    <w:rsid w:val="006E4683"/>
    <w:rsid w:val="007042B2"/>
    <w:rsid w:val="0079490A"/>
    <w:rsid w:val="00795FE8"/>
    <w:rsid w:val="007F211A"/>
    <w:rsid w:val="008B551C"/>
    <w:rsid w:val="008C7A1A"/>
    <w:rsid w:val="008D4086"/>
    <w:rsid w:val="00976600"/>
    <w:rsid w:val="00984EC7"/>
    <w:rsid w:val="00A54B19"/>
    <w:rsid w:val="00AA3F69"/>
    <w:rsid w:val="00AA4A1E"/>
    <w:rsid w:val="00AE78A3"/>
    <w:rsid w:val="00C26A25"/>
    <w:rsid w:val="00CF6CAA"/>
    <w:rsid w:val="00E06FAB"/>
    <w:rsid w:val="00E370B0"/>
    <w:rsid w:val="00ED40A1"/>
    <w:rsid w:val="00F80EDC"/>
    <w:rsid w:val="00F9300B"/>
    <w:rsid w:val="00FC0058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38AE2C-8EFF-45A6-B7A6-17B09814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5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713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1"/>
    <w:qFormat/>
    <w:rsid w:val="0079490A"/>
    <w:pPr>
      <w:ind w:left="720"/>
      <w:contextualSpacing/>
    </w:pPr>
  </w:style>
  <w:style w:type="paragraph" w:customStyle="1" w:styleId="ortabalkbold">
    <w:name w:val="ortabalkbold"/>
    <w:basedOn w:val="Normal"/>
    <w:rsid w:val="00CF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5D5E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5D5EB8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taha.kahraman</dc:creator>
  <cp:lastModifiedBy>CIHAN MERMER</cp:lastModifiedBy>
  <cp:revision>6</cp:revision>
  <cp:lastPrinted>2023-01-12T13:45:00Z</cp:lastPrinted>
  <dcterms:created xsi:type="dcterms:W3CDTF">2023-01-12T13:30:00Z</dcterms:created>
  <dcterms:modified xsi:type="dcterms:W3CDTF">2023-01-12T13:53:00Z</dcterms:modified>
</cp:coreProperties>
</file>