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F4" w:rsidRPr="007937EF" w:rsidRDefault="00B231F4" w:rsidP="007937EF">
      <w:pPr>
        <w:spacing w:after="0" w:line="240" w:lineRule="atLeast"/>
        <w:contextualSpacing/>
        <w:jc w:val="center"/>
        <w:rPr>
          <w:rFonts w:cstheme="minorHAnsi"/>
          <w:b/>
        </w:rPr>
      </w:pPr>
      <w:r w:rsidRPr="007937EF">
        <w:rPr>
          <w:rFonts w:cstheme="minorHAnsi"/>
          <w:b/>
        </w:rPr>
        <w:t xml:space="preserve">ANKARA BÜYÜKŞEHİR BELEDİYESİNİN 2018 YILINDA VE 2019 YILI </w:t>
      </w:r>
      <w:r w:rsidR="00600891">
        <w:rPr>
          <w:rFonts w:cstheme="minorHAnsi"/>
          <w:b/>
        </w:rPr>
        <w:t>(I).</w:t>
      </w:r>
      <w:r w:rsidRPr="007937EF">
        <w:rPr>
          <w:rFonts w:cstheme="minorHAnsi"/>
          <w:b/>
        </w:rPr>
        <w:t xml:space="preserve"> DÖNEMDE GERÇEKLEŞMİŞ BÜTÇE GİDER VE GELİRLERİ İLE BELEDİYE MALİYESİNE GENEL BAKIŞ</w:t>
      </w:r>
    </w:p>
    <w:p w:rsidR="00B231F4" w:rsidRPr="00AB20DD" w:rsidRDefault="00B231F4" w:rsidP="007937EF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B231F4" w:rsidRPr="00F403C8" w:rsidRDefault="00B231F4" w:rsidP="00F403C8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AB20DD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</w:t>
      </w:r>
    </w:p>
    <w:p w:rsidR="007937EF" w:rsidRDefault="00B231F4" w:rsidP="007937EF">
      <w:pPr>
        <w:spacing w:after="0" w:line="240" w:lineRule="atLeast"/>
        <w:ind w:firstLine="851"/>
        <w:contextualSpacing/>
        <w:jc w:val="both"/>
        <w:rPr>
          <w:rFonts w:cstheme="minorHAnsi"/>
          <w:i/>
          <w:color w:val="000000"/>
          <w:sz w:val="22"/>
          <w:shd w:val="clear" w:color="auto" w:fill="FFFFFF"/>
        </w:rPr>
      </w:pPr>
      <w:r w:rsidRPr="007937EF">
        <w:rPr>
          <w:rFonts w:cstheme="minorHAnsi"/>
          <w:b/>
          <w:color w:val="000000"/>
          <w:sz w:val="22"/>
          <w:shd w:val="clear" w:color="auto" w:fill="FFFFFF"/>
        </w:rPr>
        <w:t>Özeti:</w:t>
      </w:r>
      <w:r w:rsidRPr="007937EF">
        <w:rPr>
          <w:rFonts w:cstheme="minorHAnsi"/>
          <w:color w:val="000000"/>
          <w:sz w:val="22"/>
          <w:shd w:val="clear" w:color="auto" w:fill="FFFFFF"/>
        </w:rPr>
        <w:t xml:space="preserve">  </w:t>
      </w:r>
      <w:r w:rsidRPr="007937EF">
        <w:rPr>
          <w:rFonts w:cstheme="minorHAnsi"/>
          <w:i/>
          <w:color w:val="000000"/>
          <w:sz w:val="22"/>
          <w:shd w:val="clear" w:color="auto" w:fill="FFFFFF"/>
        </w:rPr>
        <w:t xml:space="preserve">Güncel resmi raporlar ve halka açık kaynaklar ışığında, Ankara Büyükşehir Belediyesinin </w:t>
      </w:r>
      <w:r w:rsidRPr="007937EF">
        <w:rPr>
          <w:rFonts w:cstheme="minorHAnsi"/>
          <w:i/>
          <w:color w:val="000000"/>
          <w:sz w:val="22"/>
          <w:u w:val="single"/>
          <w:shd w:val="clear" w:color="auto" w:fill="FFFFFF"/>
        </w:rPr>
        <w:t>2018 yılı ve 2019 yılının I. dönem bütçe gerçekleşmeler</w:t>
      </w:r>
      <w:r w:rsidRPr="007937EF">
        <w:rPr>
          <w:rFonts w:cstheme="minorHAnsi"/>
          <w:i/>
          <w:sz w:val="22"/>
          <w:u w:val="single"/>
          <w:shd w:val="clear" w:color="auto" w:fill="FFFFFF"/>
        </w:rPr>
        <w:t>i</w:t>
      </w:r>
      <w:r w:rsidRPr="007937EF">
        <w:rPr>
          <w:rFonts w:cstheme="minorHAnsi"/>
          <w:i/>
          <w:sz w:val="22"/>
          <w:shd w:val="clear" w:color="auto" w:fill="FFFFFF"/>
        </w:rPr>
        <w:t xml:space="preserve"> </w:t>
      </w:r>
      <w:r w:rsidRPr="007937EF">
        <w:rPr>
          <w:rFonts w:cstheme="minorHAnsi"/>
          <w:i/>
          <w:color w:val="000000"/>
          <w:sz w:val="22"/>
          <w:shd w:val="clear" w:color="auto" w:fill="FFFFFF"/>
        </w:rPr>
        <w:t>ve mali vb. durumlarına ilişkin bilgiler nesnel olarak değerlendirilmeye çalışılmış; Başkent belediyesi olma özelliği taşıyan Ankara Büyükşehir Belediyesinin,  mali yapısı hakkında kamuoyunun doğru bilgilendirilmesi amaçlanmıştır.</w:t>
      </w:r>
    </w:p>
    <w:p w:rsidR="00EF05DA" w:rsidRDefault="00B231F4" w:rsidP="00E43858">
      <w:pPr>
        <w:spacing w:after="0" w:line="240" w:lineRule="atLeast"/>
        <w:ind w:firstLine="851"/>
        <w:contextualSpacing/>
        <w:jc w:val="both"/>
        <w:rPr>
          <w:rFonts w:cstheme="minorHAnsi"/>
          <w:i/>
          <w:color w:val="000000"/>
          <w:sz w:val="22"/>
          <w:shd w:val="clear" w:color="auto" w:fill="FFFFFF"/>
        </w:rPr>
      </w:pPr>
      <w:r w:rsidRPr="007937EF">
        <w:rPr>
          <w:rFonts w:cstheme="minorHAnsi"/>
          <w:b/>
          <w:sz w:val="22"/>
        </w:rPr>
        <w:t>Anahtar Sözcükler:</w:t>
      </w:r>
      <w:r w:rsidRPr="007937EF">
        <w:rPr>
          <w:rFonts w:cstheme="minorHAnsi"/>
          <w:i/>
          <w:sz w:val="22"/>
        </w:rPr>
        <w:t xml:space="preserve"> </w:t>
      </w:r>
      <w:r w:rsidRPr="007937EF">
        <w:rPr>
          <w:rFonts w:cstheme="minorHAnsi"/>
          <w:sz w:val="22"/>
        </w:rPr>
        <w:t>Ankara Büyükşehir Belediyesi, Genel Faaliyet Raporu, Bütçe, Bilanço</w:t>
      </w:r>
      <w:r w:rsidRPr="00AB20DD">
        <w:rPr>
          <w:rFonts w:ascii="Times New Roman" w:hAnsi="Times New Roman" w:cs="Times New Roman"/>
          <w:sz w:val="22"/>
        </w:rPr>
        <w:t>.</w:t>
      </w:r>
    </w:p>
    <w:p w:rsidR="00E43858" w:rsidRPr="00E43858" w:rsidRDefault="00E43858" w:rsidP="00E43858">
      <w:pPr>
        <w:spacing w:after="0" w:line="240" w:lineRule="atLeast"/>
        <w:ind w:firstLine="851"/>
        <w:contextualSpacing/>
        <w:jc w:val="both"/>
        <w:rPr>
          <w:rFonts w:cstheme="minorHAnsi"/>
          <w:i/>
          <w:color w:val="000000"/>
          <w:sz w:val="22"/>
          <w:shd w:val="clear" w:color="auto" w:fill="FFFFFF"/>
        </w:rPr>
      </w:pPr>
    </w:p>
    <w:p w:rsidR="00EF05DA" w:rsidRPr="00E43858" w:rsidRDefault="00EF05DA" w:rsidP="00163C45">
      <w:pPr>
        <w:shd w:val="clear" w:color="auto" w:fill="FFFFFF"/>
        <w:spacing w:after="0" w:line="240" w:lineRule="atLeast"/>
        <w:ind w:firstLine="851"/>
        <w:contextualSpacing/>
        <w:jc w:val="both"/>
        <w:rPr>
          <w:b/>
          <w:szCs w:val="24"/>
        </w:rPr>
      </w:pPr>
      <w:r w:rsidRPr="00E43858">
        <w:rPr>
          <w:b/>
          <w:szCs w:val="24"/>
        </w:rPr>
        <w:t>I-GİRİŞ</w:t>
      </w:r>
    </w:p>
    <w:p w:rsidR="00163C45" w:rsidRPr="00E43858" w:rsidRDefault="00E43858" w:rsidP="00163C45">
      <w:pPr>
        <w:shd w:val="clear" w:color="auto" w:fill="FFFFFF"/>
        <w:spacing w:after="0" w:line="240" w:lineRule="atLeast"/>
        <w:ind w:firstLine="851"/>
        <w:contextualSpacing/>
        <w:jc w:val="both"/>
        <w:rPr>
          <w:rFonts w:eastAsia="Times New Roman" w:cstheme="minorHAnsi"/>
          <w:b/>
          <w:i/>
          <w:szCs w:val="24"/>
          <w:lang w:eastAsia="tr-TR"/>
        </w:rPr>
      </w:pPr>
      <w:r>
        <w:rPr>
          <w:szCs w:val="24"/>
        </w:rPr>
        <w:t>1-</w:t>
      </w:r>
      <w:r w:rsidR="00EF05DA" w:rsidRPr="00E43858">
        <w:rPr>
          <w:szCs w:val="24"/>
        </w:rPr>
        <w:t>Ankara Büyükşehir Belediyesinin</w:t>
      </w:r>
      <w:r w:rsidR="0020385F">
        <w:rPr>
          <w:szCs w:val="24"/>
        </w:rPr>
        <w:t xml:space="preserve"> (ABB)</w:t>
      </w:r>
      <w:r w:rsidR="00EF05DA" w:rsidRPr="00E43858">
        <w:rPr>
          <w:szCs w:val="24"/>
        </w:rPr>
        <w:t xml:space="preserve"> mevcut durumu/sorunlarının tespiti ve alınması gereken önlemler açısından;  belediye gelirlerinin toplanması, giderlerin gerçekleştirilmesi, açıkların finansmanı, belediyenin varlık ve borçları ile diğ</w:t>
      </w:r>
      <w:r w:rsidR="00B84848">
        <w:rPr>
          <w:szCs w:val="24"/>
        </w:rPr>
        <w:t xml:space="preserve">er yükümlülüklerinin yönetimini </w:t>
      </w:r>
      <w:r w:rsidR="00EF05DA" w:rsidRPr="00E43858">
        <w:rPr>
          <w:szCs w:val="24"/>
        </w:rPr>
        <w:t>kapsayan belediye maliyesinin durumunun iyi bilinmesi ve gelişmelerin yakından izlenmesi özel bir önem taşımaktadır.</w:t>
      </w:r>
    </w:p>
    <w:p w:rsidR="004E647D" w:rsidRPr="00E43858" w:rsidRDefault="004E647D" w:rsidP="00163C45">
      <w:pPr>
        <w:shd w:val="clear" w:color="auto" w:fill="FFFFFF"/>
        <w:spacing w:after="0" w:line="240" w:lineRule="atLeast"/>
        <w:ind w:firstLine="851"/>
        <w:contextualSpacing/>
        <w:jc w:val="both"/>
        <w:rPr>
          <w:rFonts w:eastAsia="Times New Roman" w:cstheme="minorHAnsi"/>
          <w:b/>
          <w:i/>
          <w:szCs w:val="24"/>
          <w:lang w:eastAsia="tr-TR"/>
        </w:rPr>
      </w:pPr>
      <w:r w:rsidRPr="00E43858">
        <w:rPr>
          <w:szCs w:val="24"/>
        </w:rPr>
        <w:t>Bu bağl</w:t>
      </w:r>
      <w:r w:rsidR="0020385F">
        <w:rPr>
          <w:szCs w:val="24"/>
        </w:rPr>
        <w:t>amda ABB</w:t>
      </w:r>
      <w:r w:rsidR="008A7A8C">
        <w:rPr>
          <w:szCs w:val="24"/>
        </w:rPr>
        <w:t>’</w:t>
      </w:r>
      <w:r w:rsidR="0020385F">
        <w:rPr>
          <w:szCs w:val="24"/>
        </w:rPr>
        <w:t xml:space="preserve"> since</w:t>
      </w:r>
      <w:r w:rsidRPr="00E43858">
        <w:rPr>
          <w:szCs w:val="24"/>
        </w:rPr>
        <w:t xml:space="preserve"> yıllık olarak hazırlanması gereken belediye </w:t>
      </w:r>
      <w:r w:rsidR="00027550">
        <w:rPr>
          <w:szCs w:val="24"/>
        </w:rPr>
        <w:t xml:space="preserve">bütçeleri,  faaliyet raporları, </w:t>
      </w:r>
      <w:r w:rsidRPr="00E43858">
        <w:rPr>
          <w:szCs w:val="24"/>
        </w:rPr>
        <w:t>kesin hesap cetvelleri</w:t>
      </w:r>
      <w:r w:rsidR="00163C45" w:rsidRPr="00E43858">
        <w:rPr>
          <w:szCs w:val="24"/>
        </w:rPr>
        <w:t xml:space="preserve"> ve </w:t>
      </w:r>
      <w:r w:rsidRPr="00E43858">
        <w:rPr>
          <w:szCs w:val="24"/>
        </w:rPr>
        <w:t>Sayıştay Başkanlığınca yapılan dış denetimler son</w:t>
      </w:r>
      <w:r w:rsidR="00027550">
        <w:rPr>
          <w:szCs w:val="24"/>
        </w:rPr>
        <w:t>u</w:t>
      </w:r>
      <w:r w:rsidRPr="00E43858">
        <w:rPr>
          <w:szCs w:val="24"/>
        </w:rPr>
        <w:t>c</w:t>
      </w:r>
      <w:r w:rsidR="00163C45" w:rsidRPr="00E43858">
        <w:rPr>
          <w:szCs w:val="24"/>
        </w:rPr>
        <w:t>u d</w:t>
      </w:r>
      <w:r w:rsidR="008A7A8C">
        <w:rPr>
          <w:szCs w:val="24"/>
        </w:rPr>
        <w:t xml:space="preserve">üzenlenen denetim raporları ile </w:t>
      </w:r>
      <w:r w:rsidRPr="00E43858">
        <w:rPr>
          <w:szCs w:val="24"/>
        </w:rPr>
        <w:t>bundan böyle</w:t>
      </w:r>
      <w:r w:rsidR="008A7A8C">
        <w:rPr>
          <w:szCs w:val="24"/>
        </w:rPr>
        <w:t xml:space="preserve"> (İçişleri Bakanlığı yerine)</w:t>
      </w:r>
      <w:r w:rsidRPr="00E43858">
        <w:rPr>
          <w:szCs w:val="24"/>
        </w:rPr>
        <w:t xml:space="preserve"> Çevre ve Şehircilik Bakanlığınca hazırlanması gereken mahalli idareler genel faaliyet raporları</w:t>
      </w:r>
      <w:r w:rsidR="00027550">
        <w:rPr>
          <w:szCs w:val="24"/>
        </w:rPr>
        <w:t xml:space="preserve">; </w:t>
      </w:r>
      <w:r w:rsidRPr="00E43858">
        <w:rPr>
          <w:szCs w:val="24"/>
        </w:rPr>
        <w:t>güncel nitelikli, önemli bilgileri içermektedir.</w:t>
      </w:r>
    </w:p>
    <w:p w:rsidR="00EF05DA" w:rsidRDefault="004E647D" w:rsidP="00163C45">
      <w:pPr>
        <w:shd w:val="clear" w:color="auto" w:fill="FFFFFF"/>
        <w:spacing w:after="0" w:line="240" w:lineRule="atLeast"/>
        <w:contextualSpacing/>
        <w:jc w:val="both"/>
        <w:rPr>
          <w:szCs w:val="24"/>
        </w:rPr>
      </w:pPr>
      <w:r w:rsidRPr="00E43858">
        <w:rPr>
          <w:szCs w:val="24"/>
        </w:rPr>
        <w:t xml:space="preserve">               </w:t>
      </w:r>
      <w:r w:rsidR="00EF05DA" w:rsidRPr="00E43858">
        <w:rPr>
          <w:szCs w:val="24"/>
        </w:rPr>
        <w:t xml:space="preserve">Bu yüzden yazımızda </w:t>
      </w:r>
      <w:r w:rsidR="0020385F">
        <w:rPr>
          <w:szCs w:val="24"/>
        </w:rPr>
        <w:t>ABB sinin</w:t>
      </w:r>
      <w:r w:rsidRPr="00E43858">
        <w:rPr>
          <w:szCs w:val="24"/>
        </w:rPr>
        <w:t xml:space="preserve"> 2018 yılı</w:t>
      </w:r>
      <w:r w:rsidR="00EF05DA" w:rsidRPr="00E43858">
        <w:rPr>
          <w:szCs w:val="24"/>
        </w:rPr>
        <w:t xml:space="preserve"> bütçesinin gel</w:t>
      </w:r>
      <w:r w:rsidR="008A7A8C">
        <w:rPr>
          <w:szCs w:val="24"/>
        </w:rPr>
        <w:t xml:space="preserve">ir, gider ve denkleştirmesi ele alınmakta, </w:t>
      </w:r>
      <w:r w:rsidR="00EF05DA" w:rsidRPr="00E43858">
        <w:rPr>
          <w:szCs w:val="24"/>
        </w:rPr>
        <w:t xml:space="preserve">bütçe rakamlarının değerlendirilmesi yapılmakta;  </w:t>
      </w:r>
      <w:r w:rsidRPr="00E43858">
        <w:rPr>
          <w:szCs w:val="24"/>
        </w:rPr>
        <w:t>belediye</w:t>
      </w:r>
      <w:r w:rsidR="00EF05DA" w:rsidRPr="00E43858">
        <w:rPr>
          <w:szCs w:val="24"/>
        </w:rPr>
        <w:t xml:space="preserve"> maliyesini ilgilendiren konularda fikir açıklamasında bulunulmadan önce bilinmesi ve el altında tutulması </w:t>
      </w:r>
      <w:r w:rsidR="00163C45" w:rsidRPr="00E43858">
        <w:rPr>
          <w:szCs w:val="24"/>
        </w:rPr>
        <w:t xml:space="preserve">gerektiği düşünülen, </w:t>
      </w:r>
      <w:r w:rsidR="00EF05DA" w:rsidRPr="00E43858">
        <w:rPr>
          <w:szCs w:val="24"/>
        </w:rPr>
        <w:t>önemli/ somut bilgi notlarına dikkat edilmesi amaçlanmaktadır.</w:t>
      </w:r>
    </w:p>
    <w:p w:rsidR="008A7A8C" w:rsidRPr="00E43858" w:rsidRDefault="008A7A8C" w:rsidP="00163C45">
      <w:pPr>
        <w:shd w:val="clear" w:color="auto" w:fill="FFFFFF"/>
        <w:spacing w:after="0" w:line="240" w:lineRule="atLeast"/>
        <w:contextualSpacing/>
        <w:jc w:val="both"/>
        <w:rPr>
          <w:szCs w:val="24"/>
        </w:rPr>
      </w:pPr>
      <w:r>
        <w:rPr>
          <w:szCs w:val="24"/>
        </w:rPr>
        <w:t xml:space="preserve">                Ayrıca günceli yakalayabilmek bağlamında 2019 yılının ilk üç ayında</w:t>
      </w:r>
      <w:r w:rsidR="00DC4EA7">
        <w:rPr>
          <w:szCs w:val="24"/>
        </w:rPr>
        <w:t xml:space="preserve">ki gider </w:t>
      </w:r>
      <w:r>
        <w:rPr>
          <w:szCs w:val="24"/>
        </w:rPr>
        <w:t>ve gelir bütçe</w:t>
      </w:r>
      <w:r w:rsidR="00DC4EA7">
        <w:rPr>
          <w:szCs w:val="24"/>
        </w:rPr>
        <w:t>lerindeki gerçekleşmeler</w:t>
      </w:r>
      <w:r w:rsidR="00027550">
        <w:rPr>
          <w:szCs w:val="24"/>
        </w:rPr>
        <w:t xml:space="preserve"> de</w:t>
      </w:r>
      <w:r w:rsidR="00DC4EA7">
        <w:rPr>
          <w:szCs w:val="24"/>
        </w:rPr>
        <w:t xml:space="preserve"> </w:t>
      </w:r>
      <w:r>
        <w:rPr>
          <w:szCs w:val="24"/>
        </w:rPr>
        <w:t>ele alınmakta, önceki yıla ait aynı dönemdeki gerçekleşmelerle karşılaştırılması yapılmaktadır.</w:t>
      </w:r>
    </w:p>
    <w:p w:rsidR="00163C45" w:rsidRPr="00E43858" w:rsidRDefault="00163C45" w:rsidP="00163C45">
      <w:pPr>
        <w:shd w:val="clear" w:color="auto" w:fill="FFFFFF"/>
        <w:spacing w:after="0" w:line="240" w:lineRule="atLeast"/>
        <w:contextualSpacing/>
        <w:jc w:val="both"/>
        <w:rPr>
          <w:szCs w:val="24"/>
        </w:rPr>
      </w:pPr>
    </w:p>
    <w:p w:rsidR="00163C45" w:rsidRDefault="00163C45" w:rsidP="00C642DD">
      <w:pPr>
        <w:spacing w:after="0" w:line="240" w:lineRule="atLeast"/>
        <w:ind w:firstLine="851"/>
        <w:contextualSpacing/>
        <w:jc w:val="both"/>
        <w:rPr>
          <w:b/>
          <w:szCs w:val="24"/>
        </w:rPr>
      </w:pPr>
      <w:r w:rsidRPr="00E43858">
        <w:rPr>
          <w:b/>
          <w:szCs w:val="24"/>
        </w:rPr>
        <w:t xml:space="preserve">II- ABB 2018 YILI BÜTÇESİNDEKİ GERÇEKLEŞMELER </w:t>
      </w:r>
      <w:r w:rsidR="00C642DD" w:rsidRPr="00E43858">
        <w:rPr>
          <w:b/>
          <w:szCs w:val="24"/>
        </w:rPr>
        <w:t>ve MALİ DURUM</w:t>
      </w:r>
    </w:p>
    <w:p w:rsidR="000B0756" w:rsidRPr="000B0756" w:rsidRDefault="000B0756" w:rsidP="00C642DD">
      <w:pPr>
        <w:spacing w:after="0" w:line="240" w:lineRule="atLeast"/>
        <w:ind w:firstLine="851"/>
        <w:contextualSpacing/>
        <w:jc w:val="both"/>
        <w:rPr>
          <w:b/>
          <w:szCs w:val="24"/>
        </w:rPr>
      </w:pPr>
      <w:r w:rsidRPr="000B0756">
        <w:rPr>
          <w:b/>
          <w:szCs w:val="24"/>
        </w:rPr>
        <w:t>A)- BÜTÇE GİDERLERİ</w:t>
      </w:r>
    </w:p>
    <w:p w:rsidR="00E43858" w:rsidRPr="00E43858" w:rsidRDefault="00163C45" w:rsidP="000B0756">
      <w:pPr>
        <w:spacing w:after="0" w:line="240" w:lineRule="atLeast"/>
        <w:ind w:firstLine="851"/>
        <w:contextualSpacing/>
        <w:jc w:val="both"/>
        <w:rPr>
          <w:b/>
          <w:szCs w:val="24"/>
        </w:rPr>
      </w:pPr>
      <w:r w:rsidRPr="00E43858">
        <w:rPr>
          <w:b/>
          <w:szCs w:val="24"/>
        </w:rPr>
        <w:t>a)-</w:t>
      </w:r>
      <w:r w:rsidR="000B0756" w:rsidRPr="00E43858">
        <w:rPr>
          <w:b/>
          <w:szCs w:val="24"/>
        </w:rPr>
        <w:t>Ekonomik Sınıflandırmaya Göre Giderler</w:t>
      </w:r>
    </w:p>
    <w:p w:rsidR="00163C45" w:rsidRPr="00E43858" w:rsidRDefault="00163C45" w:rsidP="00645568">
      <w:pPr>
        <w:spacing w:after="0" w:line="240" w:lineRule="atLeast"/>
        <w:ind w:firstLine="851"/>
        <w:contextualSpacing/>
        <w:jc w:val="both"/>
        <w:rPr>
          <w:szCs w:val="24"/>
        </w:rPr>
      </w:pPr>
      <w:r w:rsidRPr="00E43858">
        <w:rPr>
          <w:b/>
          <w:szCs w:val="24"/>
        </w:rPr>
        <w:t xml:space="preserve"> </w:t>
      </w:r>
      <w:r w:rsidR="00E43858" w:rsidRPr="00E43858">
        <w:rPr>
          <w:b/>
          <w:szCs w:val="24"/>
        </w:rPr>
        <w:t>2-</w:t>
      </w:r>
      <w:r w:rsidR="0020385F">
        <w:rPr>
          <w:szCs w:val="24"/>
        </w:rPr>
        <w:t>ABB’sinin</w:t>
      </w:r>
      <w:r w:rsidRPr="00E43858">
        <w:rPr>
          <w:szCs w:val="24"/>
        </w:rPr>
        <w:t xml:space="preserve"> 2016, 2017 ve 201</w:t>
      </w:r>
      <w:r w:rsidR="00E43858">
        <w:rPr>
          <w:szCs w:val="24"/>
        </w:rPr>
        <w:t>8 yıllarında gerçekleşmiş bütçe giderlerinin</w:t>
      </w:r>
      <w:r w:rsidRPr="00E43858">
        <w:rPr>
          <w:szCs w:val="24"/>
        </w:rPr>
        <w:t xml:space="preserve"> ekonomik sınıflandırma</w:t>
      </w:r>
      <w:r w:rsidR="00645568" w:rsidRPr="00E43858">
        <w:rPr>
          <w:szCs w:val="24"/>
        </w:rPr>
        <w:t>ya göre dağılımları; gider</w:t>
      </w:r>
      <w:r w:rsidR="008A7A8C">
        <w:rPr>
          <w:szCs w:val="24"/>
        </w:rPr>
        <w:t>lerdeki yıllık değişim oranları ile</w:t>
      </w:r>
      <w:r w:rsidR="00027550">
        <w:rPr>
          <w:szCs w:val="24"/>
        </w:rPr>
        <w:t xml:space="preserve"> ABB ülke genelind</w:t>
      </w:r>
      <w:r w:rsidR="005A1658">
        <w:rPr>
          <w:szCs w:val="24"/>
        </w:rPr>
        <w:t>eki konumunun görülebilmesi bakımından</w:t>
      </w:r>
      <w:r w:rsidR="00645568" w:rsidRPr="00E43858">
        <w:rPr>
          <w:szCs w:val="24"/>
        </w:rPr>
        <w:t xml:space="preserve"> 2017</w:t>
      </w:r>
      <w:r w:rsidR="005A1658">
        <w:rPr>
          <w:szCs w:val="24"/>
        </w:rPr>
        <w:t xml:space="preserve"> yılı </w:t>
      </w:r>
      <w:r w:rsidR="00645568" w:rsidRPr="00E43858">
        <w:rPr>
          <w:szCs w:val="24"/>
        </w:rPr>
        <w:t>itibarıyla</w:t>
      </w:r>
      <w:r w:rsidR="00E43858">
        <w:rPr>
          <w:szCs w:val="24"/>
        </w:rPr>
        <w:t xml:space="preserve"> </w:t>
      </w:r>
      <w:r w:rsidR="00645568" w:rsidRPr="00E43858">
        <w:rPr>
          <w:szCs w:val="24"/>
        </w:rPr>
        <w:t>Ankara Büyükşehir v</w:t>
      </w:r>
      <w:r w:rsidR="00E43858">
        <w:rPr>
          <w:szCs w:val="24"/>
        </w:rPr>
        <w:t>e  (30) büyükşehir belediyesindeki gider türlerinin toplam giderlere</w:t>
      </w:r>
      <w:r w:rsidR="00645568" w:rsidRPr="00E43858">
        <w:rPr>
          <w:szCs w:val="24"/>
        </w:rPr>
        <w:t xml:space="preserve"> göre dağılım </w:t>
      </w:r>
      <w:r w:rsidRPr="00E43858">
        <w:rPr>
          <w:szCs w:val="24"/>
        </w:rPr>
        <w:t xml:space="preserve">oranlarına </w:t>
      </w:r>
      <w:r w:rsidR="00645568" w:rsidRPr="00E43858">
        <w:rPr>
          <w:szCs w:val="24"/>
        </w:rPr>
        <w:t>Tablo 1</w:t>
      </w:r>
      <w:r w:rsidRPr="00E43858">
        <w:rPr>
          <w:szCs w:val="24"/>
        </w:rPr>
        <w:t>’de yer verilmiştir.</w:t>
      </w:r>
    </w:p>
    <w:p w:rsidR="00645568" w:rsidRPr="00072929" w:rsidRDefault="00645568" w:rsidP="00645568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</w:t>
      </w:r>
      <w:r w:rsidRPr="003D4541">
        <w:rPr>
          <w:rFonts w:ascii="Times New Roman" w:hAnsi="Times New Roman" w:cs="Times New Roman"/>
          <w:b/>
          <w:szCs w:val="24"/>
        </w:rPr>
        <w:t>Tablo 1</w:t>
      </w:r>
      <w:r>
        <w:rPr>
          <w:rFonts w:ascii="Times New Roman" w:hAnsi="Times New Roman" w:cs="Times New Roman"/>
          <w:b/>
          <w:szCs w:val="24"/>
        </w:rPr>
        <w:t xml:space="preserve">: ABB’ de Yıllar İtibarıyla Ekonomik Sınıflandırmaya Göre Gerçekleşmiş Bütçe Giderleri </w:t>
      </w:r>
      <w:r w:rsidRPr="003D4541">
        <w:rPr>
          <w:rFonts w:ascii="Times New Roman" w:hAnsi="Times New Roman" w:cs="Times New Roman"/>
          <w:sz w:val="18"/>
          <w:szCs w:val="18"/>
        </w:rPr>
        <w:t xml:space="preserve"> (Bin TL)</w:t>
      </w:r>
    </w:p>
    <w:p w:rsidR="00645568" w:rsidRPr="003D4541" w:rsidRDefault="00645568" w:rsidP="00645568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3D4541">
        <w:rPr>
          <w:rFonts w:ascii="Times New Roman" w:hAnsi="Times New Roman" w:cs="Times New Roman"/>
        </w:rPr>
        <w:t xml:space="preserve">                         </w:t>
      </w:r>
    </w:p>
    <w:tbl>
      <w:tblPr>
        <w:tblStyle w:val="TabloKlavuzu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993"/>
        <w:gridCol w:w="1134"/>
        <w:gridCol w:w="1133"/>
        <w:gridCol w:w="709"/>
        <w:gridCol w:w="708"/>
        <w:gridCol w:w="709"/>
        <w:gridCol w:w="1276"/>
      </w:tblGrid>
      <w:tr w:rsidR="00645568" w:rsidRPr="003D4541" w:rsidTr="00190B72">
        <w:trPr>
          <w:trHeight w:val="498"/>
          <w:jc w:val="center"/>
        </w:trPr>
        <w:tc>
          <w:tcPr>
            <w:tcW w:w="3256" w:type="dxa"/>
            <w:vMerge w:val="restart"/>
          </w:tcPr>
          <w:p w:rsidR="00645568" w:rsidRPr="003D4541" w:rsidRDefault="00645568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GİDERİN TÜRÜ</w:t>
            </w:r>
          </w:p>
        </w:tc>
        <w:tc>
          <w:tcPr>
            <w:tcW w:w="3260" w:type="dxa"/>
            <w:gridSpan w:val="3"/>
          </w:tcPr>
          <w:p w:rsidR="00645568" w:rsidRPr="003D4541" w:rsidRDefault="00645568" w:rsidP="00DD326C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Bütçe Giderleri</w:t>
            </w:r>
          </w:p>
          <w:p w:rsidR="00645568" w:rsidRPr="007908BC" w:rsidRDefault="00645568" w:rsidP="00DD326C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45568" w:rsidRPr="003D4541" w:rsidRDefault="00645568" w:rsidP="00DD326C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Değişim Oranları </w:t>
            </w: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985" w:type="dxa"/>
            <w:gridSpan w:val="2"/>
          </w:tcPr>
          <w:p w:rsidR="00645568" w:rsidRPr="003D4541" w:rsidRDefault="00645568" w:rsidP="00DD326C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2017 Yılı Giderlerinin Top. Giderlere Or. (%)</w:t>
            </w:r>
          </w:p>
        </w:tc>
      </w:tr>
      <w:tr w:rsidR="00645568" w:rsidRPr="003D4541" w:rsidTr="00190B72">
        <w:trPr>
          <w:trHeight w:val="561"/>
          <w:jc w:val="center"/>
        </w:trPr>
        <w:tc>
          <w:tcPr>
            <w:tcW w:w="3256" w:type="dxa"/>
            <w:vMerge/>
          </w:tcPr>
          <w:p w:rsidR="00645568" w:rsidRPr="003D4541" w:rsidRDefault="00645568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45568" w:rsidRPr="003D4541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  <w:p w:rsidR="00645568" w:rsidRPr="007908BC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5568" w:rsidRPr="000879B0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33" w:type="dxa"/>
          </w:tcPr>
          <w:p w:rsidR="00645568" w:rsidRPr="00E43858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858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645568" w:rsidRPr="003D4541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708" w:type="dxa"/>
          </w:tcPr>
          <w:p w:rsidR="00645568" w:rsidRPr="003D4541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2017/2018</w:t>
            </w:r>
          </w:p>
        </w:tc>
        <w:tc>
          <w:tcPr>
            <w:tcW w:w="709" w:type="dxa"/>
          </w:tcPr>
          <w:p w:rsidR="00645568" w:rsidRPr="003D4541" w:rsidRDefault="00645568" w:rsidP="00DD326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Ank. B.B</w:t>
            </w:r>
          </w:p>
        </w:tc>
        <w:tc>
          <w:tcPr>
            <w:tcW w:w="1276" w:type="dxa"/>
          </w:tcPr>
          <w:p w:rsidR="00645568" w:rsidRPr="00190B72" w:rsidRDefault="00190B72" w:rsidP="00DD326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B. </w:t>
            </w:r>
            <w:r w:rsidR="00645568" w:rsidRPr="00190B72">
              <w:rPr>
                <w:rFonts w:ascii="Times New Roman" w:hAnsi="Times New Roman" w:cs="Times New Roman"/>
                <w:b/>
                <w:sz w:val="16"/>
                <w:szCs w:val="16"/>
              </w:rPr>
              <w:t>Belediyeleri (Türkiye)</w:t>
            </w:r>
          </w:p>
        </w:tc>
      </w:tr>
      <w:tr w:rsidR="00645568" w:rsidRPr="003D4541" w:rsidTr="00190B72">
        <w:trPr>
          <w:trHeight w:val="268"/>
          <w:jc w:val="center"/>
        </w:trPr>
        <w:tc>
          <w:tcPr>
            <w:tcW w:w="3256" w:type="dxa"/>
          </w:tcPr>
          <w:p w:rsidR="00645568" w:rsidRPr="003D4541" w:rsidRDefault="00645568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1-Personel Giderleri</w:t>
            </w:r>
          </w:p>
        </w:tc>
        <w:tc>
          <w:tcPr>
            <w:tcW w:w="993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296.035</w:t>
            </w:r>
          </w:p>
        </w:tc>
        <w:tc>
          <w:tcPr>
            <w:tcW w:w="1134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306.256</w:t>
            </w:r>
          </w:p>
        </w:tc>
        <w:tc>
          <w:tcPr>
            <w:tcW w:w="1133" w:type="dxa"/>
          </w:tcPr>
          <w:p w:rsidR="00645568" w:rsidRPr="00E43858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858">
              <w:rPr>
                <w:rFonts w:ascii="Times New Roman" w:hAnsi="Times New Roman" w:cs="Times New Roman"/>
                <w:sz w:val="18"/>
                <w:szCs w:val="18"/>
              </w:rPr>
              <w:t>359.274</w:t>
            </w:r>
          </w:p>
        </w:tc>
        <w:tc>
          <w:tcPr>
            <w:tcW w:w="709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709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4,77</w:t>
            </w:r>
          </w:p>
        </w:tc>
        <w:tc>
          <w:tcPr>
            <w:tcW w:w="1276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7,09</w:t>
            </w:r>
          </w:p>
        </w:tc>
      </w:tr>
      <w:tr w:rsidR="00645568" w:rsidRPr="003D4541" w:rsidTr="00190B72">
        <w:trPr>
          <w:trHeight w:val="276"/>
          <w:jc w:val="center"/>
        </w:trPr>
        <w:tc>
          <w:tcPr>
            <w:tcW w:w="3256" w:type="dxa"/>
          </w:tcPr>
          <w:p w:rsidR="00645568" w:rsidRPr="003D4541" w:rsidRDefault="00645568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2-SGK Devlet Primi </w:t>
            </w:r>
          </w:p>
        </w:tc>
        <w:tc>
          <w:tcPr>
            <w:tcW w:w="993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42.158</w:t>
            </w:r>
          </w:p>
        </w:tc>
        <w:tc>
          <w:tcPr>
            <w:tcW w:w="1134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41.794</w:t>
            </w:r>
          </w:p>
        </w:tc>
        <w:tc>
          <w:tcPr>
            <w:tcW w:w="1133" w:type="dxa"/>
          </w:tcPr>
          <w:p w:rsidR="00645568" w:rsidRPr="00E43858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858">
              <w:rPr>
                <w:rFonts w:ascii="Times New Roman" w:hAnsi="Times New Roman" w:cs="Times New Roman"/>
                <w:sz w:val="18"/>
                <w:szCs w:val="18"/>
              </w:rPr>
              <w:t>48.421</w:t>
            </w:r>
          </w:p>
        </w:tc>
        <w:tc>
          <w:tcPr>
            <w:tcW w:w="709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-01</w:t>
            </w:r>
          </w:p>
        </w:tc>
        <w:tc>
          <w:tcPr>
            <w:tcW w:w="708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709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1276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1,12</w:t>
            </w:r>
          </w:p>
        </w:tc>
      </w:tr>
      <w:tr w:rsidR="00645568" w:rsidRPr="003D4541" w:rsidTr="00190B72">
        <w:trPr>
          <w:jc w:val="center"/>
        </w:trPr>
        <w:tc>
          <w:tcPr>
            <w:tcW w:w="3256" w:type="dxa"/>
          </w:tcPr>
          <w:p w:rsidR="00645568" w:rsidRPr="003D4541" w:rsidRDefault="00645568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3- Mal ve Hizmet Alımları</w:t>
            </w:r>
          </w:p>
        </w:tc>
        <w:tc>
          <w:tcPr>
            <w:tcW w:w="993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2.257.754</w:t>
            </w:r>
          </w:p>
        </w:tc>
        <w:tc>
          <w:tcPr>
            <w:tcW w:w="1134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2.330.098</w:t>
            </w:r>
          </w:p>
        </w:tc>
        <w:tc>
          <w:tcPr>
            <w:tcW w:w="1133" w:type="dxa"/>
          </w:tcPr>
          <w:p w:rsidR="00645568" w:rsidRPr="00E43858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858">
              <w:rPr>
                <w:rFonts w:ascii="Times New Roman" w:hAnsi="Times New Roman" w:cs="Times New Roman"/>
                <w:sz w:val="18"/>
                <w:szCs w:val="18"/>
              </w:rPr>
              <w:t>2.005.496</w:t>
            </w:r>
          </w:p>
        </w:tc>
        <w:tc>
          <w:tcPr>
            <w:tcW w:w="709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8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-13,9</w:t>
            </w:r>
          </w:p>
        </w:tc>
        <w:tc>
          <w:tcPr>
            <w:tcW w:w="709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36,33</w:t>
            </w:r>
          </w:p>
        </w:tc>
        <w:tc>
          <w:tcPr>
            <w:tcW w:w="1276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31,32</w:t>
            </w:r>
          </w:p>
        </w:tc>
      </w:tr>
      <w:tr w:rsidR="00645568" w:rsidRPr="003D4541" w:rsidTr="00190B72">
        <w:trPr>
          <w:trHeight w:val="270"/>
          <w:jc w:val="center"/>
        </w:trPr>
        <w:tc>
          <w:tcPr>
            <w:tcW w:w="3256" w:type="dxa"/>
          </w:tcPr>
          <w:p w:rsidR="00645568" w:rsidRPr="003D4541" w:rsidRDefault="00645568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Faiz Giderleri</w:t>
            </w:r>
          </w:p>
        </w:tc>
        <w:tc>
          <w:tcPr>
            <w:tcW w:w="993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174.413</w:t>
            </w:r>
          </w:p>
        </w:tc>
        <w:tc>
          <w:tcPr>
            <w:tcW w:w="1134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142.102</w:t>
            </w:r>
          </w:p>
        </w:tc>
        <w:tc>
          <w:tcPr>
            <w:tcW w:w="1133" w:type="dxa"/>
          </w:tcPr>
          <w:p w:rsidR="00645568" w:rsidRPr="00E43858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858">
              <w:rPr>
                <w:rFonts w:ascii="Times New Roman" w:hAnsi="Times New Roman" w:cs="Times New Roman"/>
                <w:sz w:val="18"/>
                <w:szCs w:val="18"/>
              </w:rPr>
              <w:t>148.263</w:t>
            </w:r>
          </w:p>
        </w:tc>
        <w:tc>
          <w:tcPr>
            <w:tcW w:w="709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-18,5</w:t>
            </w:r>
          </w:p>
        </w:tc>
        <w:tc>
          <w:tcPr>
            <w:tcW w:w="708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09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1276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3,17</w:t>
            </w:r>
          </w:p>
        </w:tc>
      </w:tr>
      <w:tr w:rsidR="00645568" w:rsidRPr="003D4541" w:rsidTr="00190B72">
        <w:trPr>
          <w:trHeight w:val="270"/>
          <w:jc w:val="center"/>
        </w:trPr>
        <w:tc>
          <w:tcPr>
            <w:tcW w:w="3256" w:type="dxa"/>
          </w:tcPr>
          <w:p w:rsidR="00645568" w:rsidRPr="005A1658" w:rsidRDefault="00645568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Cari </w:t>
            </w: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Transferler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(Kâr amacı gütmeyen </w:t>
            </w:r>
            <w:r w:rsidRPr="003D45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kuruluşlara/hane halkına yapılan transferler, gelirlerden ayrılan paylar vb.) </w:t>
            </w:r>
          </w:p>
        </w:tc>
        <w:tc>
          <w:tcPr>
            <w:tcW w:w="993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334.287</w:t>
            </w:r>
          </w:p>
        </w:tc>
        <w:tc>
          <w:tcPr>
            <w:tcW w:w="1134" w:type="dxa"/>
          </w:tcPr>
          <w:p w:rsidR="00645568" w:rsidRPr="00103764" w:rsidRDefault="00645568" w:rsidP="00DD326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 xml:space="preserve">     394.284</w:t>
            </w:r>
          </w:p>
        </w:tc>
        <w:tc>
          <w:tcPr>
            <w:tcW w:w="1133" w:type="dxa"/>
          </w:tcPr>
          <w:p w:rsidR="00645568" w:rsidRPr="00E43858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858">
              <w:rPr>
                <w:rFonts w:ascii="Times New Roman" w:hAnsi="Times New Roman" w:cs="Times New Roman"/>
                <w:sz w:val="18"/>
                <w:szCs w:val="18"/>
              </w:rPr>
              <w:t>542.048</w:t>
            </w:r>
          </w:p>
        </w:tc>
        <w:tc>
          <w:tcPr>
            <w:tcW w:w="709" w:type="dxa"/>
          </w:tcPr>
          <w:p w:rsidR="00645568" w:rsidRPr="00103764" w:rsidRDefault="00645568" w:rsidP="00DD326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 xml:space="preserve">     18</w:t>
            </w:r>
          </w:p>
        </w:tc>
        <w:tc>
          <w:tcPr>
            <w:tcW w:w="708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709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6,15</w:t>
            </w:r>
          </w:p>
        </w:tc>
        <w:tc>
          <w:tcPr>
            <w:tcW w:w="1276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4,79</w:t>
            </w:r>
          </w:p>
        </w:tc>
      </w:tr>
      <w:tr w:rsidR="00645568" w:rsidRPr="003D4541" w:rsidTr="00190B72">
        <w:trPr>
          <w:jc w:val="center"/>
        </w:trPr>
        <w:tc>
          <w:tcPr>
            <w:tcW w:w="3256" w:type="dxa"/>
          </w:tcPr>
          <w:p w:rsidR="00645568" w:rsidRPr="003D4541" w:rsidRDefault="00645568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6-Sermaye (Yatırım)  Giderleri</w:t>
            </w:r>
          </w:p>
        </w:tc>
        <w:tc>
          <w:tcPr>
            <w:tcW w:w="993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1.796.900</w:t>
            </w:r>
          </w:p>
        </w:tc>
        <w:tc>
          <w:tcPr>
            <w:tcW w:w="1134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2.854.152</w:t>
            </w:r>
          </w:p>
        </w:tc>
        <w:tc>
          <w:tcPr>
            <w:tcW w:w="1133" w:type="dxa"/>
          </w:tcPr>
          <w:p w:rsidR="00645568" w:rsidRPr="00E43858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858">
              <w:rPr>
                <w:rFonts w:ascii="Times New Roman" w:hAnsi="Times New Roman" w:cs="Times New Roman"/>
                <w:sz w:val="18"/>
                <w:szCs w:val="18"/>
              </w:rPr>
              <w:t>3.055.169</w:t>
            </w:r>
          </w:p>
        </w:tc>
        <w:tc>
          <w:tcPr>
            <w:tcW w:w="709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8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276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48,20</w:t>
            </w:r>
          </w:p>
        </w:tc>
      </w:tr>
      <w:tr w:rsidR="00645568" w:rsidRPr="003D4541" w:rsidTr="00190B72">
        <w:trPr>
          <w:jc w:val="center"/>
        </w:trPr>
        <w:tc>
          <w:tcPr>
            <w:tcW w:w="3256" w:type="dxa"/>
          </w:tcPr>
          <w:p w:rsidR="00645568" w:rsidRPr="00E10199" w:rsidRDefault="00645568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Sermaye Transferleri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D4541">
              <w:rPr>
                <w:rFonts w:ascii="Times New Roman" w:hAnsi="Times New Roman" w:cs="Times New Roman"/>
                <w:i/>
                <w:sz w:val="20"/>
                <w:szCs w:val="20"/>
              </w:rPr>
              <w:t>Bağlı idarelere/kamu ortaklıklarına vb. yapılanlar)</w:t>
            </w:r>
          </w:p>
        </w:tc>
        <w:tc>
          <w:tcPr>
            <w:tcW w:w="993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134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23.248</w:t>
            </w:r>
          </w:p>
        </w:tc>
        <w:tc>
          <w:tcPr>
            <w:tcW w:w="1133" w:type="dxa"/>
          </w:tcPr>
          <w:p w:rsidR="00645568" w:rsidRPr="00E43858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858">
              <w:rPr>
                <w:rFonts w:ascii="Times New Roman" w:hAnsi="Times New Roman" w:cs="Times New Roman"/>
                <w:sz w:val="18"/>
                <w:szCs w:val="18"/>
              </w:rPr>
              <w:t>102.518</w:t>
            </w:r>
          </w:p>
        </w:tc>
        <w:tc>
          <w:tcPr>
            <w:tcW w:w="709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2324</w:t>
            </w:r>
          </w:p>
        </w:tc>
        <w:tc>
          <w:tcPr>
            <w:tcW w:w="708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709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1276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</w:tr>
      <w:tr w:rsidR="00645568" w:rsidRPr="003D4541" w:rsidTr="00190B72">
        <w:trPr>
          <w:trHeight w:val="390"/>
          <w:jc w:val="center"/>
        </w:trPr>
        <w:tc>
          <w:tcPr>
            <w:tcW w:w="3256" w:type="dxa"/>
          </w:tcPr>
          <w:p w:rsidR="00645568" w:rsidRPr="00E10199" w:rsidRDefault="00645568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8-Borç Verme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D4541">
              <w:rPr>
                <w:rFonts w:ascii="Times New Roman" w:hAnsi="Times New Roman" w:cs="Times New Roman"/>
                <w:i/>
                <w:sz w:val="20"/>
                <w:szCs w:val="20"/>
              </w:rPr>
              <w:t>Bağlı idarelere/kamu kurum ve kuruluşlarına/kamu ortaklıklarına vb. yapılanlar)</w:t>
            </w:r>
          </w:p>
        </w:tc>
        <w:tc>
          <w:tcPr>
            <w:tcW w:w="993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435.070</w:t>
            </w:r>
          </w:p>
        </w:tc>
        <w:tc>
          <w:tcPr>
            <w:tcW w:w="1134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252.433</w:t>
            </w:r>
          </w:p>
        </w:tc>
        <w:tc>
          <w:tcPr>
            <w:tcW w:w="1133" w:type="dxa"/>
          </w:tcPr>
          <w:p w:rsidR="00645568" w:rsidRPr="00E43858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858">
              <w:rPr>
                <w:rFonts w:ascii="Times New Roman" w:hAnsi="Times New Roman" w:cs="Times New Roman"/>
                <w:sz w:val="18"/>
                <w:szCs w:val="18"/>
              </w:rPr>
              <w:t>353.253</w:t>
            </w:r>
          </w:p>
        </w:tc>
        <w:tc>
          <w:tcPr>
            <w:tcW w:w="709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-42</w:t>
            </w:r>
          </w:p>
        </w:tc>
        <w:tc>
          <w:tcPr>
            <w:tcW w:w="708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3,94</w:t>
            </w:r>
          </w:p>
        </w:tc>
        <w:tc>
          <w:tcPr>
            <w:tcW w:w="1276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</w:tr>
      <w:tr w:rsidR="00645568" w:rsidRPr="003D4541" w:rsidTr="00190B72">
        <w:trPr>
          <w:jc w:val="center"/>
        </w:trPr>
        <w:tc>
          <w:tcPr>
            <w:tcW w:w="3256" w:type="dxa"/>
          </w:tcPr>
          <w:p w:rsidR="00645568" w:rsidRPr="003D4541" w:rsidRDefault="00645568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GİDER TOPLAMI                 </w:t>
            </w:r>
          </w:p>
        </w:tc>
        <w:tc>
          <w:tcPr>
            <w:tcW w:w="993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5.337.619</w:t>
            </w:r>
          </w:p>
        </w:tc>
        <w:tc>
          <w:tcPr>
            <w:tcW w:w="1134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b/>
                <w:sz w:val="18"/>
                <w:szCs w:val="18"/>
              </w:rPr>
              <w:t>6.344.372</w:t>
            </w:r>
          </w:p>
        </w:tc>
        <w:tc>
          <w:tcPr>
            <w:tcW w:w="1133" w:type="dxa"/>
          </w:tcPr>
          <w:p w:rsidR="00645568" w:rsidRPr="00E43858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3858">
              <w:rPr>
                <w:rFonts w:ascii="Times New Roman" w:hAnsi="Times New Roman" w:cs="Times New Roman"/>
                <w:b/>
                <w:sz w:val="18"/>
                <w:szCs w:val="18"/>
              </w:rPr>
              <w:t>6.614.445</w:t>
            </w:r>
          </w:p>
        </w:tc>
        <w:tc>
          <w:tcPr>
            <w:tcW w:w="709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b/>
                <w:sz w:val="18"/>
                <w:szCs w:val="18"/>
              </w:rPr>
              <w:t>18,9</w:t>
            </w:r>
          </w:p>
        </w:tc>
        <w:tc>
          <w:tcPr>
            <w:tcW w:w="708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b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45568" w:rsidRPr="00103764" w:rsidRDefault="00645568" w:rsidP="00DD326C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764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8E7B2E" w:rsidRDefault="00645568" w:rsidP="00E43858">
      <w:pPr>
        <w:spacing w:after="0" w:line="240" w:lineRule="atLeast"/>
        <w:contextualSpacing/>
        <w:jc w:val="both"/>
      </w:pPr>
      <w:r w:rsidRPr="007851FB">
        <w:rPr>
          <w:rFonts w:ascii="Times New Roman" w:hAnsi="Times New Roman" w:cs="Times New Roman"/>
          <w:b/>
          <w:sz w:val="18"/>
          <w:szCs w:val="18"/>
        </w:rPr>
        <w:t>Not:</w:t>
      </w:r>
      <w:r w:rsidRPr="007851FB">
        <w:rPr>
          <w:rFonts w:ascii="Times New Roman" w:hAnsi="Times New Roman" w:cs="Times New Roman"/>
          <w:sz w:val="18"/>
          <w:szCs w:val="18"/>
        </w:rPr>
        <w:t xml:space="preserve"> Küsuratlar yuvarlatılmıştır.</w:t>
      </w:r>
      <w:r w:rsidR="008E7B2E" w:rsidRPr="008E7B2E">
        <w:t xml:space="preserve"> </w:t>
      </w:r>
    </w:p>
    <w:p w:rsidR="00190B72" w:rsidRDefault="008E7B2E" w:rsidP="00E43858">
      <w:pPr>
        <w:spacing w:after="0" w:line="240" w:lineRule="atLeast"/>
        <w:contextualSpacing/>
        <w:jc w:val="both"/>
      </w:pPr>
      <w:r>
        <w:t xml:space="preserve">               </w:t>
      </w:r>
      <w:r w:rsidRPr="008E7B2E">
        <w:rPr>
          <w:rFonts w:ascii="Times New Roman" w:hAnsi="Times New Roman" w:cs="Times New Roman"/>
          <w:sz w:val="18"/>
          <w:szCs w:val="18"/>
        </w:rPr>
        <w:t>Kaynak: T.C. Sayıştay Başkanlığı , (2018),  Ankara Büyükşehir Belediyesi Sayıştay Denetim Raporu;  İçişleri Bakanlığı, (2018) , “ 2017 Yılı Mahalli İdareler Genel Faaliyet Raporu” ve Ankara Büyükşehir Belediyesi</w:t>
      </w:r>
      <w:r>
        <w:rPr>
          <w:rFonts w:ascii="Times New Roman" w:hAnsi="Times New Roman" w:cs="Times New Roman"/>
          <w:sz w:val="18"/>
          <w:szCs w:val="18"/>
        </w:rPr>
        <w:t xml:space="preserve">nin </w:t>
      </w:r>
      <w:r w:rsidRPr="008E7B2E">
        <w:rPr>
          <w:rFonts w:ascii="Times New Roman" w:hAnsi="Times New Roman" w:cs="Times New Roman"/>
          <w:sz w:val="18"/>
          <w:szCs w:val="18"/>
        </w:rPr>
        <w:t xml:space="preserve"> “2017 </w:t>
      </w:r>
      <w:r w:rsidR="00F201D4">
        <w:rPr>
          <w:rFonts w:ascii="Times New Roman" w:hAnsi="Times New Roman" w:cs="Times New Roman"/>
          <w:sz w:val="18"/>
          <w:szCs w:val="18"/>
        </w:rPr>
        <w:t>ve 2018 yıllarına ait</w:t>
      </w:r>
      <w:r>
        <w:rPr>
          <w:rFonts w:ascii="Times New Roman" w:hAnsi="Times New Roman" w:cs="Times New Roman"/>
          <w:sz w:val="18"/>
          <w:szCs w:val="18"/>
        </w:rPr>
        <w:t xml:space="preserve"> faaliyet r</w:t>
      </w:r>
      <w:r w:rsidR="00F201D4">
        <w:rPr>
          <w:rFonts w:ascii="Times New Roman" w:hAnsi="Times New Roman" w:cs="Times New Roman"/>
          <w:sz w:val="18"/>
          <w:szCs w:val="18"/>
        </w:rPr>
        <w:t>aporları</w:t>
      </w:r>
      <w:r>
        <w:rPr>
          <w:rFonts w:ascii="Times New Roman" w:hAnsi="Times New Roman" w:cs="Times New Roman"/>
          <w:sz w:val="18"/>
          <w:szCs w:val="18"/>
        </w:rPr>
        <w:t xml:space="preserve">” </w:t>
      </w:r>
      <w:r w:rsidR="00F201D4">
        <w:rPr>
          <w:rFonts w:ascii="Times New Roman" w:hAnsi="Times New Roman" w:cs="Times New Roman"/>
          <w:sz w:val="18"/>
          <w:szCs w:val="18"/>
        </w:rPr>
        <w:t xml:space="preserve">verilerine </w:t>
      </w:r>
      <w:r w:rsidRPr="008E7B2E">
        <w:rPr>
          <w:rFonts w:ascii="Times New Roman" w:hAnsi="Times New Roman" w:cs="Times New Roman"/>
          <w:sz w:val="18"/>
          <w:szCs w:val="18"/>
        </w:rPr>
        <w:t xml:space="preserve">dayanılarak hazırlanmıştır.  </w:t>
      </w:r>
    </w:p>
    <w:p w:rsidR="00E43858" w:rsidRPr="00E43858" w:rsidRDefault="00E43858" w:rsidP="00E43858">
      <w:pPr>
        <w:spacing w:after="0" w:line="240" w:lineRule="atLeast"/>
        <w:contextualSpacing/>
        <w:jc w:val="both"/>
      </w:pPr>
    </w:p>
    <w:p w:rsidR="00E43858" w:rsidRDefault="008F431E" w:rsidP="00E43858">
      <w:pPr>
        <w:spacing w:after="0" w:line="240" w:lineRule="atLeast"/>
        <w:ind w:firstLine="851"/>
        <w:contextualSpacing/>
        <w:jc w:val="both"/>
        <w:rPr>
          <w:szCs w:val="24"/>
        </w:rPr>
      </w:pPr>
      <w:r w:rsidRPr="008F431E">
        <w:rPr>
          <w:b/>
          <w:szCs w:val="24"/>
        </w:rPr>
        <w:t>3-</w:t>
      </w:r>
      <w:r w:rsidR="00190B72" w:rsidRPr="008F431E">
        <w:rPr>
          <w:b/>
          <w:szCs w:val="24"/>
        </w:rPr>
        <w:t>2018 yılı ABB bütçesi giderleri bir önceki yıla göre sadece % 4 artışla (270 milyon TL) gerçekleşmiştir.</w:t>
      </w:r>
      <w:r w:rsidR="006527A7">
        <w:rPr>
          <w:szCs w:val="24"/>
        </w:rPr>
        <w:t xml:space="preserve"> </w:t>
      </w:r>
    </w:p>
    <w:p w:rsidR="00E43858" w:rsidRDefault="006527A7" w:rsidP="00E43858">
      <w:pPr>
        <w:spacing w:after="0" w:line="240" w:lineRule="atLeast"/>
        <w:ind w:firstLine="851"/>
        <w:contextualSpacing/>
        <w:jc w:val="both"/>
        <w:rPr>
          <w:szCs w:val="24"/>
        </w:rPr>
      </w:pPr>
      <w:r>
        <w:rPr>
          <w:szCs w:val="24"/>
        </w:rPr>
        <w:t>2018 yılı toplam giderleri bütçede 8 milyar TL olar</w:t>
      </w:r>
      <w:r w:rsidR="00E43858">
        <w:rPr>
          <w:szCs w:val="24"/>
        </w:rPr>
        <w:t xml:space="preserve">ak </w:t>
      </w:r>
      <w:r>
        <w:rPr>
          <w:szCs w:val="24"/>
        </w:rPr>
        <w:t>öngörüldüğü için gerçekleşme % 82,6 seviyesinde kalmıştır.</w:t>
      </w:r>
    </w:p>
    <w:p w:rsidR="00E43858" w:rsidRDefault="0019419E" w:rsidP="00E43858">
      <w:pPr>
        <w:spacing w:after="0" w:line="240" w:lineRule="atLeast"/>
        <w:ind w:firstLine="851"/>
        <w:contextualSpacing/>
        <w:jc w:val="both"/>
        <w:rPr>
          <w:szCs w:val="24"/>
        </w:rPr>
      </w:pPr>
      <w:r>
        <w:rPr>
          <w:szCs w:val="24"/>
        </w:rPr>
        <w:t>Tahminlerde % 17,4 oranında sapma görülmektedir.</w:t>
      </w:r>
    </w:p>
    <w:p w:rsidR="008F431E" w:rsidRDefault="00461908" w:rsidP="008F431E">
      <w:pPr>
        <w:spacing w:after="0" w:line="240" w:lineRule="atLeast"/>
        <w:ind w:firstLine="851"/>
        <w:contextualSpacing/>
        <w:jc w:val="both"/>
        <w:rPr>
          <w:szCs w:val="24"/>
        </w:rPr>
      </w:pPr>
      <w:r>
        <w:rPr>
          <w:szCs w:val="24"/>
        </w:rPr>
        <w:t>Bütçede umulan gelirlerin sağlan</w:t>
      </w:r>
      <w:r w:rsidR="00387585">
        <w:rPr>
          <w:szCs w:val="24"/>
        </w:rPr>
        <w:t xml:space="preserve">amaması, dolaysıyla </w:t>
      </w:r>
      <w:r>
        <w:rPr>
          <w:szCs w:val="24"/>
        </w:rPr>
        <w:t>gelirlerin giderleri karşılayamaması üzerine ö</w:t>
      </w:r>
      <w:r w:rsidR="00E31EE9">
        <w:rPr>
          <w:szCs w:val="24"/>
        </w:rPr>
        <w:t>zellikle</w:t>
      </w:r>
      <w:r w:rsidR="006527A7">
        <w:rPr>
          <w:szCs w:val="24"/>
        </w:rPr>
        <w:t xml:space="preserve"> </w:t>
      </w:r>
      <w:r w:rsidR="00E31EE9">
        <w:rPr>
          <w:szCs w:val="24"/>
        </w:rPr>
        <w:t>mal ve hizmet alım giderleri il</w:t>
      </w:r>
      <w:r>
        <w:rPr>
          <w:szCs w:val="24"/>
        </w:rPr>
        <w:t xml:space="preserve">e sermaye giderleri ödemelerinde kısıntıya gidilmiş olduğu </w:t>
      </w:r>
      <w:r w:rsidR="00E31EE9">
        <w:rPr>
          <w:szCs w:val="24"/>
        </w:rPr>
        <w:t>görülmektedir.</w:t>
      </w:r>
      <w:r>
        <w:rPr>
          <w:szCs w:val="24"/>
        </w:rPr>
        <w:t xml:space="preserve"> </w:t>
      </w:r>
    </w:p>
    <w:p w:rsidR="005A1658" w:rsidRDefault="00461908" w:rsidP="008F431E">
      <w:pPr>
        <w:spacing w:after="0" w:line="240" w:lineRule="atLeast"/>
        <w:ind w:firstLine="851"/>
        <w:contextualSpacing/>
        <w:jc w:val="both"/>
        <w:rPr>
          <w:szCs w:val="24"/>
        </w:rPr>
      </w:pPr>
      <w:r>
        <w:rPr>
          <w:szCs w:val="24"/>
        </w:rPr>
        <w:t xml:space="preserve">Giderler içinde </w:t>
      </w:r>
      <w:r w:rsidR="00387585">
        <w:rPr>
          <w:szCs w:val="24"/>
        </w:rPr>
        <w:t>en büyük pay (%</w:t>
      </w:r>
      <w:r w:rsidR="008F431E">
        <w:rPr>
          <w:szCs w:val="24"/>
        </w:rPr>
        <w:t xml:space="preserve"> </w:t>
      </w:r>
      <w:r w:rsidR="00387585">
        <w:rPr>
          <w:szCs w:val="24"/>
        </w:rPr>
        <w:t>46 oranı ile) sermaye giderlerine aittir. 2017 yılında %59 oranında artış gösteren sermaye giderlerinde 2018 yılında</w:t>
      </w:r>
      <w:r w:rsidR="008F431E">
        <w:rPr>
          <w:szCs w:val="24"/>
        </w:rPr>
        <w:t xml:space="preserve"> yalnızca </w:t>
      </w:r>
      <w:r w:rsidR="005A1658">
        <w:rPr>
          <w:szCs w:val="24"/>
        </w:rPr>
        <w:t xml:space="preserve"> % 7 oranında artış olmuştur.</w:t>
      </w:r>
    </w:p>
    <w:p w:rsidR="008F431E" w:rsidRDefault="00387585" w:rsidP="008F431E">
      <w:pPr>
        <w:spacing w:after="0" w:line="240" w:lineRule="atLeast"/>
        <w:ind w:firstLine="851"/>
        <w:contextualSpacing/>
        <w:jc w:val="both"/>
        <w:rPr>
          <w:szCs w:val="24"/>
        </w:rPr>
      </w:pPr>
      <w:r>
        <w:rPr>
          <w:szCs w:val="24"/>
        </w:rPr>
        <w:t>Toplam giderler içinde büyüklük yönünden ikinci sırada yer alan mal ve hizmet alım giderlerinde önceki yıla göre</w:t>
      </w:r>
      <w:r w:rsidR="001B7EC0">
        <w:rPr>
          <w:szCs w:val="24"/>
        </w:rPr>
        <w:t xml:space="preserve"> %13,9 oranında eksilme</w:t>
      </w:r>
      <w:r>
        <w:rPr>
          <w:szCs w:val="24"/>
        </w:rPr>
        <w:t xml:space="preserve"> oluşmuştur.</w:t>
      </w:r>
    </w:p>
    <w:p w:rsidR="0069167B" w:rsidRPr="008F431E" w:rsidRDefault="0069167B" w:rsidP="008F431E">
      <w:pPr>
        <w:spacing w:after="0" w:line="240" w:lineRule="atLeast"/>
        <w:ind w:firstLine="851"/>
        <w:contextualSpacing/>
        <w:jc w:val="both"/>
        <w:rPr>
          <w:b/>
          <w:szCs w:val="24"/>
        </w:rPr>
      </w:pPr>
      <w:r w:rsidRPr="008F431E">
        <w:rPr>
          <w:b/>
          <w:szCs w:val="24"/>
        </w:rPr>
        <w:t>2018 yılında belediye bütçe gelirlerindeki da</w:t>
      </w:r>
      <w:r w:rsidR="001B7EC0" w:rsidRPr="008F431E">
        <w:rPr>
          <w:b/>
          <w:szCs w:val="24"/>
        </w:rPr>
        <w:t>ralmaya karşın sermaye transferleri</w:t>
      </w:r>
      <w:r w:rsidRPr="008F431E">
        <w:rPr>
          <w:b/>
          <w:szCs w:val="24"/>
        </w:rPr>
        <w:t xml:space="preserve"> giderlerinde % 440, cari giderlerde ise % 37,4 oranında artış kaydedilmiştir.</w:t>
      </w:r>
    </w:p>
    <w:p w:rsidR="0069167B" w:rsidRDefault="0069167B" w:rsidP="00387585">
      <w:pPr>
        <w:spacing w:after="0" w:line="240" w:lineRule="atLeast"/>
        <w:ind w:firstLine="851"/>
        <w:contextualSpacing/>
        <w:jc w:val="both"/>
        <w:rPr>
          <w:szCs w:val="24"/>
        </w:rPr>
      </w:pPr>
      <w:r>
        <w:rPr>
          <w:szCs w:val="24"/>
        </w:rPr>
        <w:t>148,2 milyon TL faiz ödemesi yapılmıştır.</w:t>
      </w:r>
    </w:p>
    <w:p w:rsidR="0069167B" w:rsidRDefault="0069167B" w:rsidP="00387585">
      <w:pPr>
        <w:spacing w:after="0" w:line="240" w:lineRule="atLeast"/>
        <w:ind w:firstLine="851"/>
        <w:contextualSpacing/>
        <w:jc w:val="both"/>
        <w:rPr>
          <w:szCs w:val="24"/>
        </w:rPr>
      </w:pPr>
      <w:r>
        <w:rPr>
          <w:szCs w:val="24"/>
        </w:rPr>
        <w:t>ABB mal ve hizmet alım giderleri, cari giderler il</w:t>
      </w:r>
      <w:r w:rsidR="009A59C9">
        <w:rPr>
          <w:szCs w:val="24"/>
        </w:rPr>
        <w:t xml:space="preserve">e borç verme ödemelerinin toplam </w:t>
      </w:r>
      <w:proofErr w:type="gramStart"/>
      <w:r w:rsidR="009A59C9">
        <w:rPr>
          <w:szCs w:val="24"/>
        </w:rPr>
        <w:t>giderlere</w:t>
      </w:r>
      <w:proofErr w:type="gramEnd"/>
      <w:r w:rsidR="009A59C9">
        <w:rPr>
          <w:szCs w:val="24"/>
        </w:rPr>
        <w:t xml:space="preserve"> oranında, 2017 itibarıyla bu giderlerin </w:t>
      </w:r>
      <w:r>
        <w:rPr>
          <w:szCs w:val="24"/>
        </w:rPr>
        <w:t>30 büyükşehir belediyesine ait ort</w:t>
      </w:r>
      <w:r w:rsidR="005A1658">
        <w:rPr>
          <w:szCs w:val="24"/>
        </w:rPr>
        <w:t>alamaların üzerine çıkıldığı</w:t>
      </w:r>
      <w:r w:rsidR="001B7EC0">
        <w:rPr>
          <w:szCs w:val="24"/>
        </w:rPr>
        <w:t xml:space="preserve"> </w:t>
      </w:r>
      <w:r w:rsidR="009A59C9">
        <w:rPr>
          <w:szCs w:val="24"/>
        </w:rPr>
        <w:t>anlaşılmaktadır.</w:t>
      </w:r>
    </w:p>
    <w:p w:rsidR="001B7EC0" w:rsidRDefault="001B7EC0" w:rsidP="00387585">
      <w:pPr>
        <w:spacing w:after="0" w:line="240" w:lineRule="atLeast"/>
        <w:ind w:firstLine="851"/>
        <w:contextualSpacing/>
        <w:jc w:val="both"/>
        <w:rPr>
          <w:szCs w:val="24"/>
        </w:rPr>
      </w:pPr>
    </w:p>
    <w:p w:rsidR="008F431E" w:rsidRPr="008F431E" w:rsidRDefault="001B7EC0" w:rsidP="000B0756">
      <w:pPr>
        <w:spacing w:after="0" w:line="240" w:lineRule="atLeast"/>
        <w:ind w:firstLine="851"/>
        <w:contextualSpacing/>
        <w:jc w:val="both"/>
        <w:rPr>
          <w:b/>
          <w:szCs w:val="24"/>
        </w:rPr>
      </w:pPr>
      <w:r>
        <w:rPr>
          <w:b/>
          <w:szCs w:val="24"/>
        </w:rPr>
        <w:t>b</w:t>
      </w:r>
      <w:r w:rsidRPr="00F34656">
        <w:rPr>
          <w:b/>
          <w:szCs w:val="24"/>
        </w:rPr>
        <w:t>)-</w:t>
      </w:r>
      <w:r w:rsidR="000B0756">
        <w:rPr>
          <w:b/>
          <w:szCs w:val="24"/>
        </w:rPr>
        <w:t>Fonksiyonel Sınıflandırmaya Göre Giderler</w:t>
      </w:r>
    </w:p>
    <w:p w:rsidR="001B7EC0" w:rsidRPr="008F431E" w:rsidRDefault="008F431E" w:rsidP="001B7EC0">
      <w:pPr>
        <w:spacing w:after="0" w:line="240" w:lineRule="atLeast"/>
        <w:ind w:firstLine="851"/>
        <w:contextualSpacing/>
        <w:jc w:val="both"/>
        <w:rPr>
          <w:rFonts w:cstheme="minorHAnsi"/>
          <w:b/>
          <w:szCs w:val="24"/>
        </w:rPr>
      </w:pPr>
      <w:r w:rsidRPr="008F431E">
        <w:rPr>
          <w:rFonts w:cstheme="minorHAnsi"/>
          <w:b/>
          <w:szCs w:val="24"/>
        </w:rPr>
        <w:t>4-</w:t>
      </w:r>
      <w:r w:rsidR="0020385F">
        <w:rPr>
          <w:rFonts w:cstheme="minorHAnsi"/>
          <w:szCs w:val="24"/>
        </w:rPr>
        <w:t>ABB sinin</w:t>
      </w:r>
      <w:r w:rsidR="001B7EC0" w:rsidRPr="008F431E">
        <w:rPr>
          <w:rFonts w:cstheme="minorHAnsi"/>
          <w:szCs w:val="24"/>
        </w:rPr>
        <w:t xml:space="preserve"> fonksiyonel sınıflandırmaya göre</w:t>
      </w:r>
      <w:r w:rsidRPr="008F431E">
        <w:rPr>
          <w:rFonts w:cstheme="minorHAnsi"/>
          <w:szCs w:val="24"/>
        </w:rPr>
        <w:t xml:space="preserve"> gerçekleşen 2018 yılı</w:t>
      </w:r>
      <w:r w:rsidR="001B7EC0" w:rsidRPr="008F431E">
        <w:rPr>
          <w:rFonts w:cstheme="minorHAnsi"/>
          <w:szCs w:val="24"/>
        </w:rPr>
        <w:t xml:space="preserve"> giderleri Tablo 2’de gösterilmiştir.</w:t>
      </w:r>
    </w:p>
    <w:p w:rsidR="001B7EC0" w:rsidRPr="00985456" w:rsidRDefault="001B7EC0" w:rsidP="001B7EC0">
      <w:pPr>
        <w:spacing w:after="0" w:line="240" w:lineRule="atLeast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 xml:space="preserve">                  </w:t>
      </w:r>
      <w:r w:rsidRPr="00985456">
        <w:rPr>
          <w:rFonts w:ascii="Times New Roman" w:hAnsi="Times New Roman" w:cs="Times New Roman"/>
          <w:b/>
          <w:szCs w:val="24"/>
        </w:rPr>
        <w:t>Tablo 2: Fonks</w:t>
      </w:r>
      <w:r>
        <w:rPr>
          <w:rFonts w:ascii="Times New Roman" w:hAnsi="Times New Roman" w:cs="Times New Roman"/>
          <w:b/>
          <w:szCs w:val="24"/>
        </w:rPr>
        <w:t xml:space="preserve">iyonel </w:t>
      </w:r>
      <w:r w:rsidR="00FE59CD">
        <w:rPr>
          <w:rFonts w:ascii="Times New Roman" w:hAnsi="Times New Roman" w:cs="Times New Roman"/>
          <w:b/>
          <w:szCs w:val="24"/>
        </w:rPr>
        <w:t>Sınıflandırmaya Göre Gerçekleşmiş Giderler</w:t>
      </w:r>
      <w:r w:rsidRPr="00985456">
        <w:rPr>
          <w:rFonts w:ascii="Times New Roman" w:hAnsi="Times New Roman" w:cs="Times New Roman"/>
          <w:b/>
          <w:szCs w:val="24"/>
        </w:rPr>
        <w:t xml:space="preserve"> </w:t>
      </w:r>
      <w:r w:rsidRPr="00985456">
        <w:rPr>
          <w:rFonts w:ascii="Times New Roman" w:hAnsi="Times New Roman" w:cs="Times New Roman"/>
          <w:szCs w:val="24"/>
        </w:rPr>
        <w:t xml:space="preserve">   </w:t>
      </w:r>
      <w:r w:rsidRPr="00985456">
        <w:rPr>
          <w:rFonts w:ascii="Times New Roman" w:hAnsi="Times New Roman" w:cs="Times New Roman"/>
          <w:sz w:val="18"/>
          <w:szCs w:val="18"/>
        </w:rPr>
        <w:t xml:space="preserve">(Bin TL)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992"/>
        <w:gridCol w:w="965"/>
        <w:gridCol w:w="567"/>
        <w:gridCol w:w="851"/>
        <w:gridCol w:w="1134"/>
      </w:tblGrid>
      <w:tr w:rsidR="00FE59CD" w:rsidRPr="00985456" w:rsidTr="00FE59CD">
        <w:trPr>
          <w:trHeight w:val="402"/>
        </w:trPr>
        <w:tc>
          <w:tcPr>
            <w:tcW w:w="3283" w:type="dxa"/>
            <w:vMerge w:val="restart"/>
            <w:vAlign w:val="bottom"/>
          </w:tcPr>
          <w:p w:rsidR="00FE59CD" w:rsidRPr="00985456" w:rsidRDefault="00FE59CD" w:rsidP="00DD326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Hizmetin Türü</w:t>
            </w:r>
          </w:p>
        </w:tc>
        <w:tc>
          <w:tcPr>
            <w:tcW w:w="1957" w:type="dxa"/>
            <w:gridSpan w:val="2"/>
            <w:vAlign w:val="bottom"/>
          </w:tcPr>
          <w:p w:rsidR="00FE59CD" w:rsidRPr="00985456" w:rsidRDefault="00FE59CD" w:rsidP="00DD326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YILLAR</w:t>
            </w:r>
          </w:p>
        </w:tc>
        <w:tc>
          <w:tcPr>
            <w:tcW w:w="1418" w:type="dxa"/>
            <w:gridSpan w:val="2"/>
          </w:tcPr>
          <w:p w:rsidR="00FE59CD" w:rsidRPr="00985456" w:rsidRDefault="00FE59CD" w:rsidP="00DD326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Top. </w:t>
            </w:r>
            <w:r w:rsidRPr="009854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Giderlere Oranı (%)</w:t>
            </w:r>
          </w:p>
        </w:tc>
        <w:tc>
          <w:tcPr>
            <w:tcW w:w="1134" w:type="dxa"/>
            <w:vMerge w:val="restart"/>
          </w:tcPr>
          <w:p w:rsidR="00FE59CD" w:rsidRDefault="00FE59CD" w:rsidP="00DD326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Değişim Oranı (%)</w:t>
            </w:r>
          </w:p>
          <w:p w:rsidR="00FE59CD" w:rsidRPr="00985456" w:rsidRDefault="00FE59CD" w:rsidP="00DD326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2017/2018</w:t>
            </w:r>
          </w:p>
        </w:tc>
      </w:tr>
      <w:tr w:rsidR="00FE59CD" w:rsidRPr="00985456" w:rsidTr="00FE59CD">
        <w:trPr>
          <w:trHeight w:val="402"/>
        </w:trPr>
        <w:tc>
          <w:tcPr>
            <w:tcW w:w="3283" w:type="dxa"/>
            <w:vMerge/>
            <w:vAlign w:val="bottom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65" w:type="dxa"/>
            <w:vAlign w:val="bottom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FE59CD" w:rsidRPr="00985456" w:rsidRDefault="00020957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vMerge/>
          </w:tcPr>
          <w:p w:rsidR="00FE59CD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9CD" w:rsidRPr="00985456" w:rsidTr="00D04F82">
        <w:trPr>
          <w:trHeight w:val="242"/>
        </w:trPr>
        <w:tc>
          <w:tcPr>
            <w:tcW w:w="3283" w:type="dxa"/>
            <w:vAlign w:val="bottom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1-Genel Kamu Hizmetleri</w:t>
            </w:r>
          </w:p>
        </w:tc>
        <w:tc>
          <w:tcPr>
            <w:tcW w:w="992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1.195.710</w:t>
            </w:r>
          </w:p>
        </w:tc>
        <w:tc>
          <w:tcPr>
            <w:tcW w:w="965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1.432.203</w:t>
            </w:r>
          </w:p>
        </w:tc>
        <w:tc>
          <w:tcPr>
            <w:tcW w:w="567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1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E59CD" w:rsidRPr="00985456" w:rsidTr="00D04F82">
        <w:trPr>
          <w:trHeight w:val="242"/>
        </w:trPr>
        <w:tc>
          <w:tcPr>
            <w:tcW w:w="3283" w:type="dxa"/>
            <w:vAlign w:val="bottom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2-Savunma Hizmetleri</w:t>
            </w:r>
          </w:p>
        </w:tc>
        <w:tc>
          <w:tcPr>
            <w:tcW w:w="992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5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567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9CD" w:rsidRPr="00985456" w:rsidTr="00D04F82">
        <w:trPr>
          <w:trHeight w:val="242"/>
        </w:trPr>
        <w:tc>
          <w:tcPr>
            <w:tcW w:w="3283" w:type="dxa"/>
            <w:vAlign w:val="bottom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3-Kamu Düzeni ve Güvenlik Hizmetleri</w:t>
            </w:r>
          </w:p>
        </w:tc>
        <w:tc>
          <w:tcPr>
            <w:tcW w:w="992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126.162.</w:t>
            </w:r>
          </w:p>
        </w:tc>
        <w:tc>
          <w:tcPr>
            <w:tcW w:w="965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567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FE59CD" w:rsidRPr="00985456" w:rsidTr="00D04F82">
        <w:trPr>
          <w:trHeight w:val="242"/>
        </w:trPr>
        <w:tc>
          <w:tcPr>
            <w:tcW w:w="3283" w:type="dxa"/>
            <w:vAlign w:val="bottom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4-Ekonomik İşler ve Hizmetler</w:t>
            </w:r>
          </w:p>
        </w:tc>
        <w:tc>
          <w:tcPr>
            <w:tcW w:w="992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2.290.328</w:t>
            </w:r>
          </w:p>
        </w:tc>
        <w:tc>
          <w:tcPr>
            <w:tcW w:w="965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2.610.479</w:t>
            </w:r>
          </w:p>
        </w:tc>
        <w:tc>
          <w:tcPr>
            <w:tcW w:w="567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51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34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E59CD" w:rsidRPr="00985456" w:rsidTr="00D04F82">
        <w:trPr>
          <w:trHeight w:val="242"/>
        </w:trPr>
        <w:tc>
          <w:tcPr>
            <w:tcW w:w="3283" w:type="dxa"/>
            <w:vAlign w:val="bottom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5-Çevre Koruma Hizmetleri</w:t>
            </w:r>
          </w:p>
        </w:tc>
        <w:tc>
          <w:tcPr>
            <w:tcW w:w="992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9CD" w:rsidRPr="00985456" w:rsidTr="00D04F82">
        <w:trPr>
          <w:trHeight w:val="242"/>
        </w:trPr>
        <w:tc>
          <w:tcPr>
            <w:tcW w:w="3283" w:type="dxa"/>
            <w:vAlign w:val="bottom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</w:t>
            </w:r>
            <w:proofErr w:type="gramStart"/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İskan</w:t>
            </w:r>
            <w:proofErr w:type="gramEnd"/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ve Toplum Refahı </w:t>
            </w: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Hizmetleri</w:t>
            </w:r>
          </w:p>
        </w:tc>
        <w:tc>
          <w:tcPr>
            <w:tcW w:w="992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612.928</w:t>
            </w:r>
          </w:p>
        </w:tc>
        <w:tc>
          <w:tcPr>
            <w:tcW w:w="965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832.231</w:t>
            </w:r>
          </w:p>
        </w:tc>
        <w:tc>
          <w:tcPr>
            <w:tcW w:w="567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134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FE59CD" w:rsidRPr="00985456" w:rsidTr="00D04F82">
        <w:trPr>
          <w:trHeight w:val="242"/>
        </w:trPr>
        <w:tc>
          <w:tcPr>
            <w:tcW w:w="3283" w:type="dxa"/>
            <w:vAlign w:val="bottom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7-Sağlık Hizmetleri</w:t>
            </w:r>
          </w:p>
        </w:tc>
        <w:tc>
          <w:tcPr>
            <w:tcW w:w="992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28.266</w:t>
            </w:r>
          </w:p>
        </w:tc>
        <w:tc>
          <w:tcPr>
            <w:tcW w:w="965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567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9CD" w:rsidRPr="00985456" w:rsidTr="00D04F82">
        <w:trPr>
          <w:trHeight w:val="242"/>
        </w:trPr>
        <w:tc>
          <w:tcPr>
            <w:tcW w:w="3283" w:type="dxa"/>
            <w:vAlign w:val="bottom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8-Dinlenme Kültür ve Din Hizmetleri</w:t>
            </w:r>
          </w:p>
        </w:tc>
        <w:tc>
          <w:tcPr>
            <w:tcW w:w="992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1.807.433</w:t>
            </w:r>
          </w:p>
        </w:tc>
        <w:tc>
          <w:tcPr>
            <w:tcW w:w="965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1.269.838</w:t>
            </w:r>
          </w:p>
        </w:tc>
        <w:tc>
          <w:tcPr>
            <w:tcW w:w="567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134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20957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</w:tr>
      <w:tr w:rsidR="00FE59CD" w:rsidRPr="00985456" w:rsidTr="00D04F82">
        <w:trPr>
          <w:trHeight w:val="242"/>
        </w:trPr>
        <w:tc>
          <w:tcPr>
            <w:tcW w:w="3283" w:type="dxa"/>
            <w:vAlign w:val="bottom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9-Eğitim Hizmetleri</w:t>
            </w:r>
          </w:p>
        </w:tc>
        <w:tc>
          <w:tcPr>
            <w:tcW w:w="992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59CD" w:rsidRPr="00985456" w:rsidRDefault="00020957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59CD" w:rsidRPr="00985456" w:rsidTr="00D04F82">
        <w:trPr>
          <w:trHeight w:val="242"/>
        </w:trPr>
        <w:tc>
          <w:tcPr>
            <w:tcW w:w="3283" w:type="dxa"/>
            <w:vAlign w:val="bottom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10-Sosyal Güvenlik ve Sosyal Yardım </w:t>
            </w:r>
            <w:proofErr w:type="spellStart"/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Hiz</w:t>
            </w:r>
            <w:proofErr w:type="spellEnd"/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283.472</w:t>
            </w:r>
          </w:p>
        </w:tc>
        <w:tc>
          <w:tcPr>
            <w:tcW w:w="965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322.048</w:t>
            </w:r>
          </w:p>
        </w:tc>
        <w:tc>
          <w:tcPr>
            <w:tcW w:w="567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E59CD" w:rsidRPr="00985456" w:rsidRDefault="00020957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FE59CD" w:rsidRPr="00985456" w:rsidTr="00D04F82">
        <w:trPr>
          <w:trHeight w:val="242"/>
        </w:trPr>
        <w:tc>
          <w:tcPr>
            <w:tcW w:w="3283" w:type="dxa"/>
            <w:vAlign w:val="bottom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92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6.344.372</w:t>
            </w:r>
          </w:p>
        </w:tc>
        <w:tc>
          <w:tcPr>
            <w:tcW w:w="965" w:type="dxa"/>
          </w:tcPr>
          <w:p w:rsidR="00FE59CD" w:rsidRPr="00985456" w:rsidRDefault="00D04F82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6.614.445</w:t>
            </w:r>
          </w:p>
        </w:tc>
        <w:tc>
          <w:tcPr>
            <w:tcW w:w="567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E59CD" w:rsidRPr="00985456" w:rsidRDefault="00FE59CD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4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E59CD" w:rsidRPr="00985456" w:rsidRDefault="00020957" w:rsidP="00FE59C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4,2</w:t>
            </w:r>
          </w:p>
        </w:tc>
      </w:tr>
    </w:tbl>
    <w:p w:rsidR="001B7EC0" w:rsidRDefault="001B7EC0" w:rsidP="001B7EC0">
      <w:pPr>
        <w:spacing w:after="0" w:line="24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:rsidR="001B7EC0" w:rsidRDefault="001B7EC0" w:rsidP="001B7EC0">
      <w:pPr>
        <w:spacing w:after="0" w:line="240" w:lineRule="atLeast"/>
        <w:contextualSpacing/>
        <w:jc w:val="both"/>
        <w:rPr>
          <w:rFonts w:ascii="Times New Roman" w:hAnsi="Times New Roman" w:cs="Times New Roman"/>
          <w:szCs w:val="24"/>
        </w:rPr>
      </w:pPr>
    </w:p>
    <w:p w:rsidR="00020957" w:rsidRDefault="00020957" w:rsidP="0002095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Cs w:val="24"/>
        </w:rPr>
      </w:pPr>
    </w:p>
    <w:p w:rsidR="00F201D4" w:rsidRDefault="00F201D4" w:rsidP="00F201D4">
      <w:pPr>
        <w:spacing w:after="0" w:line="240" w:lineRule="atLeast"/>
        <w:contextualSpacing/>
        <w:jc w:val="both"/>
      </w:pPr>
      <w:r>
        <w:t xml:space="preserve">               </w:t>
      </w:r>
      <w:r w:rsidRPr="008E7B2E">
        <w:rPr>
          <w:rFonts w:ascii="Times New Roman" w:hAnsi="Times New Roman" w:cs="Times New Roman"/>
          <w:sz w:val="18"/>
          <w:szCs w:val="18"/>
        </w:rPr>
        <w:t>Kaynak: T.C. Sayıştay Başkanlığı , (2018),  Ankara Büyükşehir Beled</w:t>
      </w:r>
      <w:r>
        <w:rPr>
          <w:rFonts w:ascii="Times New Roman" w:hAnsi="Times New Roman" w:cs="Times New Roman"/>
          <w:sz w:val="18"/>
          <w:szCs w:val="18"/>
        </w:rPr>
        <w:t xml:space="preserve">iyesi Sayıştay Denetim Raporu; </w:t>
      </w:r>
      <w:r w:rsidRPr="008E7B2E">
        <w:rPr>
          <w:rFonts w:ascii="Times New Roman" w:hAnsi="Times New Roman" w:cs="Times New Roman"/>
          <w:sz w:val="18"/>
          <w:szCs w:val="18"/>
        </w:rPr>
        <w:t>Ankara Büyükşehir Belediyesi</w:t>
      </w:r>
      <w:r>
        <w:rPr>
          <w:rFonts w:ascii="Times New Roman" w:hAnsi="Times New Roman" w:cs="Times New Roman"/>
          <w:sz w:val="18"/>
          <w:szCs w:val="18"/>
        </w:rPr>
        <w:t xml:space="preserve">nin </w:t>
      </w:r>
      <w:r w:rsidRPr="008E7B2E">
        <w:rPr>
          <w:rFonts w:ascii="Times New Roman" w:hAnsi="Times New Roman" w:cs="Times New Roman"/>
          <w:sz w:val="18"/>
          <w:szCs w:val="18"/>
        </w:rPr>
        <w:t xml:space="preserve"> “2017 </w:t>
      </w:r>
      <w:r>
        <w:rPr>
          <w:rFonts w:ascii="Times New Roman" w:hAnsi="Times New Roman" w:cs="Times New Roman"/>
          <w:sz w:val="18"/>
          <w:szCs w:val="18"/>
        </w:rPr>
        <w:t xml:space="preserve">ve 2018 yıllarına ait faaliyet raporları” verilerine </w:t>
      </w:r>
      <w:r w:rsidRPr="008E7B2E">
        <w:rPr>
          <w:rFonts w:ascii="Times New Roman" w:hAnsi="Times New Roman" w:cs="Times New Roman"/>
          <w:sz w:val="18"/>
          <w:szCs w:val="18"/>
        </w:rPr>
        <w:t xml:space="preserve">dayanılarak hazırlanmıştır.  </w:t>
      </w:r>
    </w:p>
    <w:p w:rsidR="00F201D4" w:rsidRDefault="00F201D4" w:rsidP="0002095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Cs w:val="24"/>
        </w:rPr>
      </w:pPr>
    </w:p>
    <w:p w:rsidR="00020957" w:rsidRPr="008F431E" w:rsidRDefault="008F431E" w:rsidP="00020957">
      <w:pPr>
        <w:spacing w:after="0" w:line="240" w:lineRule="atLeast"/>
        <w:ind w:firstLine="851"/>
        <w:contextualSpacing/>
        <w:jc w:val="both"/>
        <w:rPr>
          <w:rFonts w:cstheme="minorHAnsi"/>
          <w:szCs w:val="24"/>
        </w:rPr>
      </w:pPr>
      <w:r w:rsidRPr="008F431E">
        <w:rPr>
          <w:rFonts w:cstheme="minorHAnsi"/>
          <w:b/>
          <w:szCs w:val="24"/>
        </w:rPr>
        <w:t>5-</w:t>
      </w:r>
      <w:r w:rsidR="00020957" w:rsidRPr="008F431E">
        <w:rPr>
          <w:rFonts w:cstheme="minorHAnsi"/>
          <w:szCs w:val="24"/>
        </w:rPr>
        <w:t>Giderlerin fonksiyonel sınıflandırmaya göre ay</w:t>
      </w:r>
      <w:r>
        <w:rPr>
          <w:rFonts w:cstheme="minorHAnsi"/>
          <w:szCs w:val="24"/>
        </w:rPr>
        <w:t>ı</w:t>
      </w:r>
      <w:r w:rsidR="00020957" w:rsidRPr="008F431E">
        <w:rPr>
          <w:rFonts w:cstheme="minorHAnsi"/>
          <w:szCs w:val="24"/>
        </w:rPr>
        <w:t>rımında;   giderler içinde en büyük payın (%32,7) oranı ile ekonomik işlere ilişkin hizmetlere ayrıldığı; bunu (%18) oranı ile genel kamu hizmetleri giderleri, (% 15,8)  oranı ile</w:t>
      </w:r>
      <w:r>
        <w:rPr>
          <w:rFonts w:cstheme="minorHAnsi"/>
          <w:szCs w:val="24"/>
        </w:rPr>
        <w:t xml:space="preserve"> de</w:t>
      </w:r>
      <w:r w:rsidR="00020957" w:rsidRPr="008F431E">
        <w:rPr>
          <w:rFonts w:cstheme="minorHAnsi"/>
          <w:szCs w:val="24"/>
        </w:rPr>
        <w:t xml:space="preserve"> dinlenme ve din hizmetleri giderlerinin izlediği görülmektedir.</w:t>
      </w:r>
    </w:p>
    <w:p w:rsidR="00020957" w:rsidRPr="008F431E" w:rsidRDefault="00020957" w:rsidP="00020957">
      <w:pPr>
        <w:spacing w:after="0" w:line="240" w:lineRule="atLeast"/>
        <w:ind w:firstLine="851"/>
        <w:contextualSpacing/>
        <w:jc w:val="both"/>
        <w:rPr>
          <w:rFonts w:cstheme="minorHAnsi"/>
          <w:szCs w:val="24"/>
        </w:rPr>
      </w:pPr>
      <w:r w:rsidRPr="008F431E">
        <w:rPr>
          <w:rFonts w:cstheme="minorHAnsi"/>
          <w:szCs w:val="24"/>
        </w:rPr>
        <w:t>Fonksiyonel sınıflandırmaya göre</w:t>
      </w:r>
      <w:r w:rsidR="002318C2" w:rsidRPr="008F431E">
        <w:rPr>
          <w:rFonts w:cstheme="minorHAnsi"/>
          <w:szCs w:val="24"/>
        </w:rPr>
        <w:t xml:space="preserve"> 2018</w:t>
      </w:r>
      <w:r w:rsidRPr="008F431E">
        <w:rPr>
          <w:rFonts w:cstheme="minorHAnsi"/>
          <w:szCs w:val="24"/>
        </w:rPr>
        <w:t xml:space="preserve"> giderlerini gösterir tabloda ( sav</w:t>
      </w:r>
      <w:r w:rsidR="002318C2" w:rsidRPr="008F431E">
        <w:rPr>
          <w:rFonts w:cstheme="minorHAnsi"/>
          <w:szCs w:val="24"/>
        </w:rPr>
        <w:t>unma hizmetleri için yapılmış 54.5</w:t>
      </w:r>
      <w:r w:rsidRPr="008F431E">
        <w:rPr>
          <w:rFonts w:cstheme="minorHAnsi"/>
          <w:szCs w:val="24"/>
        </w:rPr>
        <w:t xml:space="preserve">00 TL tutarındaki küçük bir harcamaya dahi yer verilmiş iken ) </w:t>
      </w:r>
      <w:r w:rsidRPr="008F431E">
        <w:rPr>
          <w:rFonts w:cstheme="minorHAnsi"/>
          <w:szCs w:val="24"/>
          <w:u w:val="single"/>
        </w:rPr>
        <w:t xml:space="preserve">çevre koruma hizmetleri ile eğitim hizmetleri </w:t>
      </w:r>
      <w:r w:rsidRPr="008F431E">
        <w:rPr>
          <w:rFonts w:cstheme="minorHAnsi"/>
          <w:szCs w:val="24"/>
        </w:rPr>
        <w:t>için herhangi bir gider rakamına yer verilmediği görülmüştür.</w:t>
      </w:r>
    </w:p>
    <w:p w:rsidR="00020957" w:rsidRPr="008F431E" w:rsidRDefault="00020957" w:rsidP="00020957">
      <w:pPr>
        <w:spacing w:after="0" w:line="240" w:lineRule="atLeast"/>
        <w:ind w:firstLine="851"/>
        <w:contextualSpacing/>
        <w:jc w:val="both"/>
        <w:rPr>
          <w:rFonts w:cstheme="minorHAnsi"/>
          <w:szCs w:val="24"/>
        </w:rPr>
      </w:pPr>
      <w:r w:rsidRPr="008F431E">
        <w:rPr>
          <w:rFonts w:cstheme="minorHAnsi"/>
          <w:szCs w:val="24"/>
        </w:rPr>
        <w:t xml:space="preserve">Bununla birlikte eğitim harcamalarının </w:t>
      </w:r>
      <w:r w:rsidRPr="008F431E">
        <w:rPr>
          <w:rFonts w:eastAsia="Times New Roman" w:cstheme="minorHAnsi"/>
          <w:bCs/>
          <w:szCs w:val="24"/>
        </w:rPr>
        <w:t>dinlenme kültür ve din hizmetleri</w:t>
      </w:r>
      <w:r w:rsidRPr="008F431E">
        <w:rPr>
          <w:rFonts w:cstheme="minorHAnsi"/>
          <w:szCs w:val="24"/>
        </w:rPr>
        <w:t xml:space="preserve"> kapsamında gösterildiği;  Çevre Koruma ve Kontrol Daire Başkanlığınca yıl içinde </w:t>
      </w:r>
      <w:r w:rsidR="002318C2" w:rsidRPr="008F431E">
        <w:rPr>
          <w:rFonts w:cstheme="minorHAnsi"/>
          <w:szCs w:val="24"/>
        </w:rPr>
        <w:t>1</w:t>
      </w:r>
      <w:r w:rsidRPr="008F431E">
        <w:rPr>
          <w:rFonts w:cstheme="minorHAnsi"/>
          <w:szCs w:val="24"/>
        </w:rPr>
        <w:t xml:space="preserve"> milyar TL</w:t>
      </w:r>
      <w:r w:rsidR="002318C2" w:rsidRPr="008F431E">
        <w:rPr>
          <w:rFonts w:cstheme="minorHAnsi"/>
          <w:szCs w:val="24"/>
        </w:rPr>
        <w:t xml:space="preserve"> (toplam bütçe giderinin % 16,5 </w:t>
      </w:r>
      <w:r w:rsidRPr="008F431E">
        <w:rPr>
          <w:rFonts w:cstheme="minorHAnsi"/>
          <w:szCs w:val="24"/>
        </w:rPr>
        <w:t>oranında ) harcama yapıldığı anlaşılmıştır.</w:t>
      </w:r>
    </w:p>
    <w:p w:rsidR="00020957" w:rsidRPr="008F431E" w:rsidRDefault="00020957" w:rsidP="00020957">
      <w:pPr>
        <w:spacing w:after="0" w:line="240" w:lineRule="atLeast"/>
        <w:ind w:firstLine="851"/>
        <w:contextualSpacing/>
        <w:jc w:val="both"/>
        <w:rPr>
          <w:rFonts w:cstheme="minorHAnsi"/>
          <w:b/>
          <w:color w:val="00B0F0"/>
          <w:szCs w:val="24"/>
        </w:rPr>
      </w:pPr>
      <w:r w:rsidRPr="008F431E">
        <w:rPr>
          <w:rFonts w:cstheme="minorHAnsi"/>
          <w:b/>
          <w:szCs w:val="24"/>
        </w:rPr>
        <w:t>Eğitim harcamalarının mali tablolarda ayrıca gösterilmemesi, Çevre Koruma Başkanlığınca yapılmış giderlerin tümünün başka hizmet türleri arasında verilmesi anlamlı ve mali tabloların doğruluğu/güvenilirliğini etkileyecek bir durumdur</w:t>
      </w:r>
      <w:r w:rsidRPr="008F431E">
        <w:rPr>
          <w:rFonts w:cstheme="minorHAnsi"/>
          <w:b/>
          <w:color w:val="00B0F0"/>
          <w:szCs w:val="24"/>
        </w:rPr>
        <w:t>.</w:t>
      </w:r>
    </w:p>
    <w:p w:rsidR="002318C2" w:rsidRPr="008F431E" w:rsidRDefault="002318C2" w:rsidP="00020957">
      <w:pPr>
        <w:spacing w:after="0" w:line="240" w:lineRule="atLeast"/>
        <w:ind w:firstLine="851"/>
        <w:contextualSpacing/>
        <w:jc w:val="both"/>
        <w:rPr>
          <w:rFonts w:cstheme="minorHAnsi"/>
          <w:b/>
          <w:color w:val="00B0F0"/>
          <w:szCs w:val="24"/>
        </w:rPr>
      </w:pPr>
    </w:p>
    <w:p w:rsidR="002318C2" w:rsidRPr="008F431E" w:rsidRDefault="002318C2" w:rsidP="002318C2">
      <w:pPr>
        <w:spacing w:after="0" w:line="240" w:lineRule="atLeast"/>
        <w:ind w:firstLine="851"/>
        <w:contextualSpacing/>
        <w:jc w:val="both"/>
        <w:rPr>
          <w:szCs w:val="24"/>
        </w:rPr>
      </w:pPr>
      <w:r w:rsidRPr="008F431E">
        <w:rPr>
          <w:b/>
          <w:szCs w:val="24"/>
        </w:rPr>
        <w:t>B-</w:t>
      </w:r>
      <w:r w:rsidR="000B0756" w:rsidRPr="008F431E">
        <w:rPr>
          <w:b/>
          <w:szCs w:val="24"/>
        </w:rPr>
        <w:t>BÜTÇE GELİRLERİ</w:t>
      </w:r>
    </w:p>
    <w:p w:rsidR="0020385F" w:rsidRDefault="008F431E" w:rsidP="0020385F">
      <w:pPr>
        <w:spacing w:after="0" w:line="240" w:lineRule="atLeast"/>
        <w:ind w:firstLine="851"/>
        <w:contextualSpacing/>
        <w:jc w:val="both"/>
        <w:rPr>
          <w:szCs w:val="24"/>
        </w:rPr>
      </w:pPr>
      <w:r w:rsidRPr="008F431E">
        <w:rPr>
          <w:b/>
          <w:szCs w:val="24"/>
        </w:rPr>
        <w:t>6-</w:t>
      </w:r>
      <w:r w:rsidR="0020385F" w:rsidRPr="0020385F">
        <w:rPr>
          <w:szCs w:val="24"/>
        </w:rPr>
        <w:t xml:space="preserve"> </w:t>
      </w:r>
      <w:r w:rsidR="0020385F">
        <w:rPr>
          <w:szCs w:val="24"/>
        </w:rPr>
        <w:t>ABB’ sinin</w:t>
      </w:r>
      <w:r w:rsidR="0020385F" w:rsidRPr="00E43858">
        <w:rPr>
          <w:szCs w:val="24"/>
        </w:rPr>
        <w:t xml:space="preserve"> 2016, 2017 ve 201</w:t>
      </w:r>
      <w:r w:rsidR="0020385F">
        <w:rPr>
          <w:szCs w:val="24"/>
        </w:rPr>
        <w:t>8 yıllarında gerçekleşmiş bütçe gelirlerinin</w:t>
      </w:r>
      <w:r w:rsidR="0020385F" w:rsidRPr="00E43858">
        <w:rPr>
          <w:szCs w:val="24"/>
        </w:rPr>
        <w:t xml:space="preserve"> ekonomik sınıflandırmaya göre dağılım</w:t>
      </w:r>
      <w:r w:rsidR="0020385F">
        <w:rPr>
          <w:szCs w:val="24"/>
        </w:rPr>
        <w:t>ları; gelirlerdeki</w:t>
      </w:r>
      <w:r w:rsidR="0020385F" w:rsidRPr="00E43858">
        <w:rPr>
          <w:szCs w:val="24"/>
        </w:rPr>
        <w:t xml:space="preserve"> yıllık değişim oranları, 2017 itibarıyla</w:t>
      </w:r>
      <w:r w:rsidR="0020385F">
        <w:rPr>
          <w:szCs w:val="24"/>
        </w:rPr>
        <w:t xml:space="preserve"> </w:t>
      </w:r>
      <w:r w:rsidR="0020385F" w:rsidRPr="00E43858">
        <w:rPr>
          <w:szCs w:val="24"/>
        </w:rPr>
        <w:t>Ankara Büyükşehir v</w:t>
      </w:r>
      <w:r w:rsidR="0020385F">
        <w:rPr>
          <w:szCs w:val="24"/>
        </w:rPr>
        <w:t>e  (30) büyükşehir belediyesindeki gelir türlerinin toplam gelirlere</w:t>
      </w:r>
      <w:r w:rsidR="0020385F" w:rsidRPr="00E43858">
        <w:rPr>
          <w:szCs w:val="24"/>
        </w:rPr>
        <w:t xml:space="preserve"> göre dağılım oranlarına </w:t>
      </w:r>
      <w:r w:rsidR="0020385F">
        <w:rPr>
          <w:szCs w:val="24"/>
        </w:rPr>
        <w:t>Tablo 3</w:t>
      </w:r>
      <w:r w:rsidR="0020385F" w:rsidRPr="00E43858">
        <w:rPr>
          <w:szCs w:val="24"/>
        </w:rPr>
        <w:t>’de yer verilmiştir.</w:t>
      </w:r>
    </w:p>
    <w:p w:rsidR="002318C2" w:rsidRPr="002318C2" w:rsidRDefault="0020385F" w:rsidP="0020385F">
      <w:pPr>
        <w:spacing w:after="0" w:line="240" w:lineRule="atLeast"/>
        <w:ind w:firstLine="851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Tablo 3</w:t>
      </w:r>
      <w:r w:rsidR="002318C2">
        <w:rPr>
          <w:rFonts w:ascii="Times New Roman" w:hAnsi="Times New Roman" w:cs="Times New Roman"/>
          <w:b/>
          <w:szCs w:val="24"/>
        </w:rPr>
        <w:t xml:space="preserve">: ABB Yıllar İtibarıyla Ekonomik Sınıflandırmaya Göre Gerçekleşmiş Bütçe Gelirleri. </w:t>
      </w:r>
      <w:r w:rsidR="002318C2" w:rsidRPr="007851FB">
        <w:rPr>
          <w:rFonts w:ascii="Times New Roman" w:hAnsi="Times New Roman" w:cs="Times New Roman"/>
          <w:szCs w:val="24"/>
        </w:rPr>
        <w:t xml:space="preserve"> </w:t>
      </w:r>
      <w:r w:rsidR="002318C2">
        <w:rPr>
          <w:rFonts w:ascii="Times New Roman" w:hAnsi="Times New Roman" w:cs="Times New Roman"/>
          <w:sz w:val="18"/>
          <w:szCs w:val="18"/>
        </w:rPr>
        <w:t xml:space="preserve">(Bin </w:t>
      </w:r>
      <w:r w:rsidR="002318C2" w:rsidRPr="007851FB">
        <w:rPr>
          <w:rFonts w:ascii="Times New Roman" w:hAnsi="Times New Roman" w:cs="Times New Roman"/>
          <w:sz w:val="18"/>
          <w:szCs w:val="18"/>
        </w:rPr>
        <w:t xml:space="preserve">TL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oKlavuzu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987"/>
        <w:gridCol w:w="991"/>
        <w:gridCol w:w="994"/>
        <w:gridCol w:w="708"/>
        <w:gridCol w:w="709"/>
        <w:gridCol w:w="709"/>
        <w:gridCol w:w="1417"/>
      </w:tblGrid>
      <w:tr w:rsidR="002318C2" w:rsidRPr="007851FB" w:rsidTr="00DD326C">
        <w:trPr>
          <w:cantSplit/>
          <w:trHeight w:val="534"/>
          <w:jc w:val="center"/>
        </w:trPr>
        <w:tc>
          <w:tcPr>
            <w:tcW w:w="3686" w:type="dxa"/>
            <w:vMerge w:val="restart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b/>
                <w:sz w:val="18"/>
                <w:szCs w:val="18"/>
              </w:rPr>
              <w:t>Gelirin Türü</w:t>
            </w:r>
          </w:p>
        </w:tc>
        <w:tc>
          <w:tcPr>
            <w:tcW w:w="2972" w:type="dxa"/>
            <w:gridSpan w:val="3"/>
          </w:tcPr>
          <w:p w:rsidR="002318C2" w:rsidRPr="00E10199" w:rsidRDefault="002318C2" w:rsidP="00DD32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0199">
              <w:rPr>
                <w:rFonts w:ascii="Times New Roman" w:hAnsi="Times New Roman" w:cs="Times New Roman"/>
                <w:b/>
                <w:sz w:val="20"/>
                <w:szCs w:val="20"/>
              </w:rPr>
              <w:t>Bütçe Gelirleri</w:t>
            </w:r>
          </w:p>
        </w:tc>
        <w:tc>
          <w:tcPr>
            <w:tcW w:w="1417" w:type="dxa"/>
            <w:gridSpan w:val="2"/>
          </w:tcPr>
          <w:p w:rsidR="002318C2" w:rsidRPr="00465B26" w:rsidRDefault="002318C2" w:rsidP="00DD326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Değişim Oranları (%)</w:t>
            </w:r>
          </w:p>
        </w:tc>
        <w:tc>
          <w:tcPr>
            <w:tcW w:w="2126" w:type="dxa"/>
            <w:gridSpan w:val="2"/>
          </w:tcPr>
          <w:p w:rsidR="002318C2" w:rsidRPr="00465B26" w:rsidRDefault="002318C2" w:rsidP="00DD326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b/>
                <w:sz w:val="18"/>
                <w:szCs w:val="18"/>
              </w:rPr>
              <w:t>2017 Yılı Gelirlerinin Top. Gelirlere Or. (%)</w:t>
            </w:r>
          </w:p>
        </w:tc>
      </w:tr>
      <w:tr w:rsidR="002318C2" w:rsidRPr="007851FB" w:rsidTr="00DD326C">
        <w:trPr>
          <w:cantSplit/>
          <w:trHeight w:val="570"/>
          <w:jc w:val="center"/>
        </w:trPr>
        <w:tc>
          <w:tcPr>
            <w:tcW w:w="3686" w:type="dxa"/>
            <w:vMerge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2318C2" w:rsidRPr="00465B26" w:rsidRDefault="002318C2" w:rsidP="00DD326C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1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4" w:type="dxa"/>
          </w:tcPr>
          <w:p w:rsidR="002318C2" w:rsidRPr="00E10199" w:rsidRDefault="002318C2" w:rsidP="00DD3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199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2318C2" w:rsidRPr="00465B26" w:rsidRDefault="002318C2" w:rsidP="00DD326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b/>
                <w:sz w:val="18"/>
                <w:szCs w:val="18"/>
              </w:rPr>
              <w:t>2016/2017</w:t>
            </w:r>
          </w:p>
        </w:tc>
        <w:tc>
          <w:tcPr>
            <w:tcW w:w="709" w:type="dxa"/>
          </w:tcPr>
          <w:p w:rsidR="002318C2" w:rsidRPr="00465B26" w:rsidRDefault="002318C2" w:rsidP="00DD326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b/>
                <w:sz w:val="18"/>
                <w:szCs w:val="18"/>
              </w:rPr>
              <w:t>2017/2018</w:t>
            </w:r>
          </w:p>
        </w:tc>
        <w:tc>
          <w:tcPr>
            <w:tcW w:w="709" w:type="dxa"/>
          </w:tcPr>
          <w:p w:rsidR="002318C2" w:rsidRPr="00465B26" w:rsidRDefault="002318C2" w:rsidP="00DD326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Ank. B.B.</w:t>
            </w:r>
          </w:p>
        </w:tc>
        <w:tc>
          <w:tcPr>
            <w:tcW w:w="1417" w:type="dxa"/>
          </w:tcPr>
          <w:p w:rsidR="002318C2" w:rsidRPr="00465B26" w:rsidRDefault="002318C2" w:rsidP="00DD326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B. Belediyeleri</w:t>
            </w:r>
          </w:p>
          <w:p w:rsidR="002318C2" w:rsidRPr="00465B26" w:rsidRDefault="002318C2" w:rsidP="00DD326C">
            <w:pPr>
              <w:spacing w:after="0" w:line="240" w:lineRule="atLeast"/>
              <w:contextualSpacing/>
              <w:jc w:val="both"/>
              <w:rPr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b/>
                <w:sz w:val="18"/>
                <w:szCs w:val="18"/>
              </w:rPr>
              <w:t>(Türkiye)</w:t>
            </w:r>
          </w:p>
        </w:tc>
      </w:tr>
      <w:tr w:rsidR="002318C2" w:rsidRPr="007851FB" w:rsidTr="00DD326C">
        <w:trPr>
          <w:trHeight w:val="284"/>
          <w:jc w:val="center"/>
        </w:trPr>
        <w:tc>
          <w:tcPr>
            <w:tcW w:w="3686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B26">
              <w:rPr>
                <w:rFonts w:ascii="Times New Roman" w:hAnsi="Times New Roman" w:cs="Times New Roman"/>
                <w:b/>
                <w:sz w:val="20"/>
                <w:szCs w:val="20"/>
              </w:rPr>
              <w:t>1-Vergi Gelirleri</w:t>
            </w:r>
          </w:p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B26">
              <w:rPr>
                <w:rFonts w:ascii="Times New Roman" w:hAnsi="Times New Roman" w:cs="Times New Roman"/>
                <w:sz w:val="20"/>
                <w:szCs w:val="20"/>
              </w:rPr>
              <w:t>(Emlak, mal/ hizmet vergileri; harçlar vb.)</w:t>
            </w:r>
          </w:p>
        </w:tc>
        <w:tc>
          <w:tcPr>
            <w:tcW w:w="987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101.566</w:t>
            </w:r>
          </w:p>
        </w:tc>
        <w:tc>
          <w:tcPr>
            <w:tcW w:w="991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121.057</w:t>
            </w:r>
          </w:p>
        </w:tc>
        <w:tc>
          <w:tcPr>
            <w:tcW w:w="994" w:type="dxa"/>
          </w:tcPr>
          <w:p w:rsidR="002318C2" w:rsidRPr="00E10199" w:rsidRDefault="002318C2" w:rsidP="00DD32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199">
              <w:rPr>
                <w:rFonts w:ascii="Times New Roman" w:hAnsi="Times New Roman" w:cs="Times New Roman"/>
                <w:b/>
                <w:sz w:val="18"/>
                <w:szCs w:val="18"/>
              </w:rPr>
              <w:t>92.548</w:t>
            </w:r>
          </w:p>
        </w:tc>
        <w:tc>
          <w:tcPr>
            <w:tcW w:w="708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2318C2" w:rsidRPr="00465B26" w:rsidRDefault="002318C2" w:rsidP="00DD32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b/>
                <w:sz w:val="18"/>
                <w:szCs w:val="18"/>
              </w:rPr>
              <w:t>-23,5</w:t>
            </w:r>
          </w:p>
        </w:tc>
        <w:tc>
          <w:tcPr>
            <w:tcW w:w="709" w:type="dxa"/>
          </w:tcPr>
          <w:p w:rsidR="002318C2" w:rsidRPr="00465B26" w:rsidRDefault="002318C2" w:rsidP="00DD32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318C2" w:rsidRPr="00465B26" w:rsidRDefault="002318C2" w:rsidP="00DD32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b/>
                <w:sz w:val="18"/>
                <w:szCs w:val="18"/>
              </w:rPr>
              <w:t>1,43</w:t>
            </w:r>
          </w:p>
        </w:tc>
      </w:tr>
      <w:tr w:rsidR="002318C2" w:rsidRPr="007851FB" w:rsidTr="00DD326C">
        <w:trPr>
          <w:trHeight w:val="284"/>
          <w:jc w:val="center"/>
        </w:trPr>
        <w:tc>
          <w:tcPr>
            <w:tcW w:w="3686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B26">
              <w:rPr>
                <w:rFonts w:ascii="Times New Roman" w:hAnsi="Times New Roman" w:cs="Times New Roman"/>
                <w:b/>
                <w:sz w:val="20"/>
                <w:szCs w:val="20"/>
              </w:rPr>
              <w:t>2-Teşebbüs ve Mülkiyet Gelirleri</w:t>
            </w:r>
          </w:p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B26">
              <w:rPr>
                <w:rFonts w:ascii="Times New Roman" w:hAnsi="Times New Roman" w:cs="Times New Roman"/>
                <w:sz w:val="20"/>
                <w:szCs w:val="20"/>
              </w:rPr>
              <w:t>(Mal/hizmet satışı, kira vb.)</w:t>
            </w:r>
          </w:p>
        </w:tc>
        <w:tc>
          <w:tcPr>
            <w:tcW w:w="987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104.404</w:t>
            </w:r>
          </w:p>
        </w:tc>
        <w:tc>
          <w:tcPr>
            <w:tcW w:w="991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143.559</w:t>
            </w:r>
          </w:p>
        </w:tc>
        <w:tc>
          <w:tcPr>
            <w:tcW w:w="994" w:type="dxa"/>
          </w:tcPr>
          <w:p w:rsidR="002318C2" w:rsidRPr="00E10199" w:rsidRDefault="002318C2" w:rsidP="00DD3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199">
              <w:rPr>
                <w:rFonts w:ascii="Times New Roman" w:hAnsi="Times New Roman" w:cs="Times New Roman"/>
                <w:sz w:val="18"/>
                <w:szCs w:val="18"/>
              </w:rPr>
              <w:t>308.044</w:t>
            </w:r>
          </w:p>
        </w:tc>
        <w:tc>
          <w:tcPr>
            <w:tcW w:w="708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09" w:type="dxa"/>
          </w:tcPr>
          <w:p w:rsidR="002318C2" w:rsidRPr="00465B26" w:rsidRDefault="002318C2" w:rsidP="00DD32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709" w:type="dxa"/>
          </w:tcPr>
          <w:p w:rsidR="002318C2" w:rsidRPr="00465B26" w:rsidRDefault="002318C2" w:rsidP="00DD3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417" w:type="dxa"/>
          </w:tcPr>
          <w:p w:rsidR="002318C2" w:rsidRPr="00465B26" w:rsidRDefault="002318C2" w:rsidP="00DD3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12,16</w:t>
            </w:r>
          </w:p>
        </w:tc>
      </w:tr>
      <w:tr w:rsidR="002318C2" w:rsidRPr="007851FB" w:rsidTr="00DD326C">
        <w:trPr>
          <w:trHeight w:val="284"/>
          <w:jc w:val="center"/>
        </w:trPr>
        <w:tc>
          <w:tcPr>
            <w:tcW w:w="3686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B26">
              <w:rPr>
                <w:rFonts w:ascii="Times New Roman" w:hAnsi="Times New Roman" w:cs="Times New Roman"/>
                <w:b/>
                <w:sz w:val="20"/>
                <w:szCs w:val="20"/>
              </w:rPr>
              <w:t>3- Alınan Bağış ve Yardımlar</w:t>
            </w:r>
          </w:p>
        </w:tc>
        <w:tc>
          <w:tcPr>
            <w:tcW w:w="987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29.137</w:t>
            </w:r>
          </w:p>
        </w:tc>
        <w:tc>
          <w:tcPr>
            <w:tcW w:w="991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16.794</w:t>
            </w:r>
          </w:p>
        </w:tc>
        <w:tc>
          <w:tcPr>
            <w:tcW w:w="994" w:type="dxa"/>
          </w:tcPr>
          <w:p w:rsidR="002318C2" w:rsidRPr="00E10199" w:rsidRDefault="002318C2" w:rsidP="00DD3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199">
              <w:rPr>
                <w:rFonts w:ascii="Times New Roman" w:hAnsi="Times New Roman" w:cs="Times New Roman"/>
                <w:sz w:val="18"/>
                <w:szCs w:val="18"/>
              </w:rPr>
              <w:t>79.656</w:t>
            </w:r>
          </w:p>
        </w:tc>
        <w:tc>
          <w:tcPr>
            <w:tcW w:w="708" w:type="dxa"/>
          </w:tcPr>
          <w:p w:rsidR="002318C2" w:rsidRPr="00E10199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199">
              <w:rPr>
                <w:rFonts w:ascii="Times New Roman" w:hAnsi="Times New Roman" w:cs="Times New Roman"/>
                <w:b/>
                <w:sz w:val="18"/>
                <w:szCs w:val="18"/>
              </w:rPr>
              <w:t>-42</w:t>
            </w:r>
          </w:p>
        </w:tc>
        <w:tc>
          <w:tcPr>
            <w:tcW w:w="709" w:type="dxa"/>
          </w:tcPr>
          <w:p w:rsidR="002318C2" w:rsidRPr="00465B26" w:rsidRDefault="002318C2" w:rsidP="00DD32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709" w:type="dxa"/>
          </w:tcPr>
          <w:p w:rsidR="002318C2" w:rsidRPr="00465B26" w:rsidRDefault="002318C2" w:rsidP="00DD3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417" w:type="dxa"/>
          </w:tcPr>
          <w:p w:rsidR="002318C2" w:rsidRPr="00465B26" w:rsidRDefault="002318C2" w:rsidP="00DD3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0,51</w:t>
            </w:r>
          </w:p>
        </w:tc>
      </w:tr>
      <w:tr w:rsidR="002318C2" w:rsidRPr="007851FB" w:rsidTr="00DD326C">
        <w:trPr>
          <w:trHeight w:val="284"/>
          <w:jc w:val="center"/>
        </w:trPr>
        <w:tc>
          <w:tcPr>
            <w:tcW w:w="3686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B26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465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Faizler, </w:t>
            </w:r>
            <w:r w:rsidRPr="00465B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Paylar</w:t>
            </w:r>
            <w:r w:rsidRPr="00465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Cezalar</w:t>
            </w:r>
          </w:p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B26">
              <w:rPr>
                <w:rFonts w:ascii="Times New Roman" w:hAnsi="Times New Roman" w:cs="Times New Roman"/>
                <w:sz w:val="20"/>
                <w:szCs w:val="20"/>
              </w:rPr>
              <w:t>(Kişi ve kurumlardan alınan paylar vb.)</w:t>
            </w:r>
          </w:p>
        </w:tc>
        <w:tc>
          <w:tcPr>
            <w:tcW w:w="987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3.737.757</w:t>
            </w:r>
          </w:p>
        </w:tc>
        <w:tc>
          <w:tcPr>
            <w:tcW w:w="991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4.686.013</w:t>
            </w:r>
          </w:p>
        </w:tc>
        <w:tc>
          <w:tcPr>
            <w:tcW w:w="994" w:type="dxa"/>
          </w:tcPr>
          <w:p w:rsidR="002318C2" w:rsidRPr="00E10199" w:rsidRDefault="002318C2" w:rsidP="00DD3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199">
              <w:rPr>
                <w:rFonts w:ascii="Times New Roman" w:hAnsi="Times New Roman" w:cs="Times New Roman"/>
                <w:sz w:val="18"/>
                <w:szCs w:val="18"/>
              </w:rPr>
              <w:t>4.961.050</w:t>
            </w:r>
          </w:p>
        </w:tc>
        <w:tc>
          <w:tcPr>
            <w:tcW w:w="708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709" w:type="dxa"/>
          </w:tcPr>
          <w:p w:rsidR="002318C2" w:rsidRPr="00465B26" w:rsidRDefault="002318C2" w:rsidP="00DD32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318C2" w:rsidRPr="00465B26" w:rsidRDefault="002318C2" w:rsidP="00DD3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1417" w:type="dxa"/>
          </w:tcPr>
          <w:p w:rsidR="002318C2" w:rsidRPr="00465B26" w:rsidRDefault="002318C2" w:rsidP="00DD3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78,57</w:t>
            </w:r>
          </w:p>
        </w:tc>
      </w:tr>
      <w:tr w:rsidR="002318C2" w:rsidRPr="007851FB" w:rsidTr="00DD326C">
        <w:trPr>
          <w:trHeight w:val="284"/>
          <w:jc w:val="center"/>
        </w:trPr>
        <w:tc>
          <w:tcPr>
            <w:tcW w:w="3686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B26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465B26">
              <w:rPr>
                <w:rFonts w:ascii="Times New Roman" w:hAnsi="Times New Roman" w:cs="Times New Roman"/>
                <w:b/>
                <w:sz w:val="20"/>
                <w:szCs w:val="20"/>
              </w:rPr>
              <w:t>Sermaye Gelirleri</w:t>
            </w:r>
          </w:p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B26">
              <w:rPr>
                <w:rFonts w:ascii="Times New Roman" w:hAnsi="Times New Roman" w:cs="Times New Roman"/>
                <w:sz w:val="20"/>
                <w:szCs w:val="20"/>
              </w:rPr>
              <w:t xml:space="preserve">(Taşınır/taşınmaz/menkul kıymet satışı vb.) </w:t>
            </w:r>
          </w:p>
        </w:tc>
        <w:tc>
          <w:tcPr>
            <w:tcW w:w="987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1.297.032</w:t>
            </w:r>
          </w:p>
        </w:tc>
        <w:tc>
          <w:tcPr>
            <w:tcW w:w="991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1.008.534</w:t>
            </w:r>
          </w:p>
        </w:tc>
        <w:tc>
          <w:tcPr>
            <w:tcW w:w="994" w:type="dxa"/>
          </w:tcPr>
          <w:p w:rsidR="002318C2" w:rsidRPr="00E10199" w:rsidRDefault="002318C2" w:rsidP="00DD3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199">
              <w:rPr>
                <w:rFonts w:ascii="Times New Roman" w:hAnsi="Times New Roman" w:cs="Times New Roman"/>
                <w:sz w:val="18"/>
                <w:szCs w:val="18"/>
              </w:rPr>
              <w:t>363.368</w:t>
            </w:r>
          </w:p>
        </w:tc>
        <w:tc>
          <w:tcPr>
            <w:tcW w:w="708" w:type="dxa"/>
          </w:tcPr>
          <w:p w:rsidR="002318C2" w:rsidRPr="00E10199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199">
              <w:rPr>
                <w:rFonts w:ascii="Times New Roman" w:hAnsi="Times New Roman" w:cs="Times New Roman"/>
                <w:b/>
                <w:sz w:val="18"/>
                <w:szCs w:val="18"/>
              </w:rPr>
              <w:t>-22</w:t>
            </w:r>
          </w:p>
        </w:tc>
        <w:tc>
          <w:tcPr>
            <w:tcW w:w="709" w:type="dxa"/>
          </w:tcPr>
          <w:p w:rsidR="002318C2" w:rsidRPr="00E10199" w:rsidRDefault="002318C2" w:rsidP="00DD32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199">
              <w:rPr>
                <w:rFonts w:ascii="Times New Roman" w:hAnsi="Times New Roman" w:cs="Times New Roman"/>
                <w:b/>
                <w:sz w:val="18"/>
                <w:szCs w:val="18"/>
              </w:rPr>
              <w:t>-64</w:t>
            </w:r>
          </w:p>
        </w:tc>
        <w:tc>
          <w:tcPr>
            <w:tcW w:w="709" w:type="dxa"/>
          </w:tcPr>
          <w:p w:rsidR="002318C2" w:rsidRPr="00465B26" w:rsidRDefault="002318C2" w:rsidP="00DD3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417" w:type="dxa"/>
          </w:tcPr>
          <w:p w:rsidR="002318C2" w:rsidRPr="00465B26" w:rsidRDefault="002318C2" w:rsidP="00DD3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</w:tr>
      <w:tr w:rsidR="002318C2" w:rsidRPr="007851FB" w:rsidTr="00DD326C">
        <w:trPr>
          <w:trHeight w:val="294"/>
          <w:jc w:val="center"/>
        </w:trPr>
        <w:tc>
          <w:tcPr>
            <w:tcW w:w="3686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B26">
              <w:rPr>
                <w:rFonts w:ascii="Times New Roman" w:hAnsi="Times New Roman" w:cs="Times New Roman"/>
                <w:b/>
                <w:sz w:val="20"/>
                <w:szCs w:val="20"/>
              </w:rPr>
              <w:t>6-Alacaklardan Tahsilat</w:t>
            </w:r>
          </w:p>
        </w:tc>
        <w:tc>
          <w:tcPr>
            <w:tcW w:w="987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90.878</w:t>
            </w:r>
          </w:p>
        </w:tc>
        <w:tc>
          <w:tcPr>
            <w:tcW w:w="991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29.593</w:t>
            </w:r>
          </w:p>
        </w:tc>
        <w:tc>
          <w:tcPr>
            <w:tcW w:w="994" w:type="dxa"/>
          </w:tcPr>
          <w:p w:rsidR="002318C2" w:rsidRPr="00E10199" w:rsidRDefault="002318C2" w:rsidP="00DD3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199">
              <w:rPr>
                <w:rFonts w:ascii="Times New Roman" w:hAnsi="Times New Roman" w:cs="Times New Roman"/>
                <w:sz w:val="18"/>
                <w:szCs w:val="18"/>
              </w:rPr>
              <w:t>239.054</w:t>
            </w:r>
          </w:p>
        </w:tc>
        <w:tc>
          <w:tcPr>
            <w:tcW w:w="708" w:type="dxa"/>
          </w:tcPr>
          <w:p w:rsidR="002318C2" w:rsidRPr="00E10199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199">
              <w:rPr>
                <w:rFonts w:ascii="Times New Roman" w:hAnsi="Times New Roman" w:cs="Times New Roman"/>
                <w:b/>
                <w:sz w:val="18"/>
                <w:szCs w:val="18"/>
              </w:rPr>
              <w:t>-67</w:t>
            </w:r>
          </w:p>
        </w:tc>
        <w:tc>
          <w:tcPr>
            <w:tcW w:w="709" w:type="dxa"/>
          </w:tcPr>
          <w:p w:rsidR="002318C2" w:rsidRPr="00465B26" w:rsidRDefault="002318C2" w:rsidP="00DD32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</w:p>
        </w:tc>
        <w:tc>
          <w:tcPr>
            <w:tcW w:w="709" w:type="dxa"/>
          </w:tcPr>
          <w:p w:rsidR="002318C2" w:rsidRPr="00465B26" w:rsidRDefault="002318C2" w:rsidP="00DD3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17" w:type="dxa"/>
          </w:tcPr>
          <w:p w:rsidR="002318C2" w:rsidRPr="00465B26" w:rsidRDefault="002318C2" w:rsidP="00DD3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</w:tr>
      <w:tr w:rsidR="002318C2" w:rsidRPr="007851FB" w:rsidTr="00DD326C">
        <w:trPr>
          <w:trHeight w:val="284"/>
          <w:jc w:val="center"/>
        </w:trPr>
        <w:tc>
          <w:tcPr>
            <w:tcW w:w="3686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GELİR TOPLAMI                  </w:t>
            </w:r>
          </w:p>
        </w:tc>
        <w:tc>
          <w:tcPr>
            <w:tcW w:w="987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5.366.542</w:t>
            </w:r>
          </w:p>
        </w:tc>
        <w:tc>
          <w:tcPr>
            <w:tcW w:w="991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b/>
                <w:sz w:val="18"/>
                <w:szCs w:val="18"/>
              </w:rPr>
              <w:t>6.062.147</w:t>
            </w:r>
          </w:p>
        </w:tc>
        <w:tc>
          <w:tcPr>
            <w:tcW w:w="994" w:type="dxa"/>
          </w:tcPr>
          <w:p w:rsidR="002318C2" w:rsidRPr="00E10199" w:rsidRDefault="002318C2" w:rsidP="00DD3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199">
              <w:rPr>
                <w:rFonts w:ascii="Times New Roman" w:hAnsi="Times New Roman" w:cs="Times New Roman"/>
                <w:sz w:val="18"/>
                <w:szCs w:val="18"/>
              </w:rPr>
              <w:t>6.043.723</w:t>
            </w:r>
          </w:p>
        </w:tc>
        <w:tc>
          <w:tcPr>
            <w:tcW w:w="708" w:type="dxa"/>
          </w:tcPr>
          <w:p w:rsidR="002318C2" w:rsidRPr="00465B26" w:rsidRDefault="002318C2" w:rsidP="00DD32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318C2" w:rsidRPr="00465B26" w:rsidRDefault="002318C2" w:rsidP="00DD32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-0,3</w:t>
            </w:r>
          </w:p>
        </w:tc>
        <w:tc>
          <w:tcPr>
            <w:tcW w:w="709" w:type="dxa"/>
          </w:tcPr>
          <w:p w:rsidR="002318C2" w:rsidRPr="00465B26" w:rsidRDefault="002318C2" w:rsidP="00DD3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2318C2" w:rsidRPr="00465B26" w:rsidRDefault="002318C2" w:rsidP="00DD32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B2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F201D4" w:rsidRDefault="002318C2" w:rsidP="00F201D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851FB">
        <w:rPr>
          <w:rFonts w:ascii="Times New Roman" w:hAnsi="Times New Roman" w:cs="Times New Roman"/>
          <w:b/>
          <w:sz w:val="18"/>
          <w:szCs w:val="18"/>
        </w:rPr>
        <w:t>Not:</w:t>
      </w:r>
      <w:r w:rsidRPr="007851FB">
        <w:rPr>
          <w:rFonts w:ascii="Times New Roman" w:hAnsi="Times New Roman" w:cs="Times New Roman"/>
          <w:sz w:val="18"/>
          <w:szCs w:val="18"/>
        </w:rPr>
        <w:t xml:space="preserve"> Küsuratlar yuvarlatılmıştır.</w:t>
      </w:r>
    </w:p>
    <w:p w:rsidR="00F201D4" w:rsidRPr="00F201D4" w:rsidRDefault="00F201D4" w:rsidP="00F201D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201D4">
        <w:rPr>
          <w:rFonts w:ascii="Times New Roman" w:hAnsi="Times New Roman" w:cs="Times New Roman"/>
          <w:b/>
          <w:sz w:val="18"/>
          <w:szCs w:val="18"/>
        </w:rPr>
        <w:lastRenderedPageBreak/>
        <w:t>Kaynak:</w:t>
      </w:r>
      <w:r w:rsidRPr="008E7B2E">
        <w:rPr>
          <w:rFonts w:ascii="Times New Roman" w:hAnsi="Times New Roman" w:cs="Times New Roman"/>
          <w:sz w:val="18"/>
          <w:szCs w:val="18"/>
        </w:rPr>
        <w:t xml:space="preserve"> T.C. Sayıştay Başkanlığı , (2018),  Ankara Büyükşehir Belediyesi Sayıştay Denetim Raporu;  İçişleri Bakanlığı, (2018) , “ 2017 Yılı Mahalli İdareler Genel Faaliyet Raporu” ve Ankara Büyükşehir Belediyesi</w:t>
      </w:r>
      <w:r>
        <w:rPr>
          <w:rFonts w:ascii="Times New Roman" w:hAnsi="Times New Roman" w:cs="Times New Roman"/>
          <w:sz w:val="18"/>
          <w:szCs w:val="18"/>
        </w:rPr>
        <w:t xml:space="preserve">nin </w:t>
      </w:r>
      <w:r w:rsidRPr="008E7B2E">
        <w:rPr>
          <w:rFonts w:ascii="Times New Roman" w:hAnsi="Times New Roman" w:cs="Times New Roman"/>
          <w:sz w:val="18"/>
          <w:szCs w:val="18"/>
        </w:rPr>
        <w:t xml:space="preserve"> “2017 </w:t>
      </w:r>
      <w:r>
        <w:rPr>
          <w:rFonts w:ascii="Times New Roman" w:hAnsi="Times New Roman" w:cs="Times New Roman"/>
          <w:sz w:val="18"/>
          <w:szCs w:val="18"/>
        </w:rPr>
        <w:t xml:space="preserve">ve 2018 yıllarına ait faaliyet raporları” verilerine </w:t>
      </w:r>
      <w:r w:rsidRPr="008E7B2E">
        <w:rPr>
          <w:rFonts w:ascii="Times New Roman" w:hAnsi="Times New Roman" w:cs="Times New Roman"/>
          <w:sz w:val="18"/>
          <w:szCs w:val="18"/>
        </w:rPr>
        <w:t xml:space="preserve">dayanılarak hazırlanmıştır.  </w:t>
      </w:r>
    </w:p>
    <w:p w:rsidR="00F201D4" w:rsidRDefault="00F201D4" w:rsidP="002318C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9419E" w:rsidRDefault="0019419E" w:rsidP="002318C2">
      <w:pPr>
        <w:spacing w:after="0" w:line="240" w:lineRule="atLeast"/>
        <w:contextualSpacing/>
        <w:jc w:val="both"/>
      </w:pPr>
    </w:p>
    <w:p w:rsidR="0019419E" w:rsidRPr="00EC308E" w:rsidRDefault="008F431E" w:rsidP="00EC308E">
      <w:pPr>
        <w:spacing w:after="0" w:line="240" w:lineRule="atLeast"/>
        <w:ind w:firstLine="851"/>
        <w:contextualSpacing/>
        <w:jc w:val="both"/>
        <w:rPr>
          <w:rFonts w:cstheme="minorHAnsi"/>
          <w:b/>
        </w:rPr>
      </w:pPr>
      <w:r w:rsidRPr="00B178DF">
        <w:rPr>
          <w:rFonts w:cstheme="minorHAnsi"/>
          <w:b/>
        </w:rPr>
        <w:t>7-</w:t>
      </w:r>
      <w:r w:rsidR="0019419E" w:rsidRPr="00B178DF">
        <w:rPr>
          <w:rFonts w:cstheme="minorHAnsi"/>
          <w:b/>
        </w:rPr>
        <w:t xml:space="preserve">2018 yılı bütçe gelirleri 8 milyar TL olarak tahmin edildiği halde gerçekleşme ancak 6 milyar TL civarında olmuştur. </w:t>
      </w:r>
      <w:r w:rsidR="0019419E" w:rsidRPr="00B178DF">
        <w:rPr>
          <w:rFonts w:cstheme="minorHAnsi"/>
        </w:rPr>
        <w:t>Gelir bütçesindeki gerçekleşme oranı % 75,5 dolaylarındadır. Gelir tahminlerindeki sapma oranı çok yüksektir.</w:t>
      </w:r>
      <w:r w:rsidRPr="00B178DF">
        <w:rPr>
          <w:rFonts w:cstheme="minorHAnsi"/>
        </w:rPr>
        <w:t xml:space="preserve"> </w:t>
      </w:r>
      <w:r w:rsidR="0019419E" w:rsidRPr="00B178DF">
        <w:rPr>
          <w:rFonts w:cstheme="minorHAnsi"/>
        </w:rPr>
        <w:t xml:space="preserve">Buradan bütçe gelir tahminlerinde </w:t>
      </w:r>
      <w:r w:rsidR="00EC308E">
        <w:rPr>
          <w:rFonts w:cstheme="minorHAnsi"/>
        </w:rPr>
        <w:t xml:space="preserve">yeterince gerçekçi/ </w:t>
      </w:r>
      <w:r w:rsidR="00B178DF">
        <w:rPr>
          <w:rFonts w:cstheme="minorHAnsi"/>
        </w:rPr>
        <w:t>samimi</w:t>
      </w:r>
      <w:r w:rsidR="00EC308E">
        <w:rPr>
          <w:rFonts w:cstheme="minorHAnsi"/>
        </w:rPr>
        <w:t xml:space="preserve"> </w:t>
      </w:r>
      <w:r w:rsidR="00B178DF">
        <w:rPr>
          <w:rFonts w:cstheme="minorHAnsi"/>
        </w:rPr>
        <w:t>hareket edilmediği</w:t>
      </w:r>
      <w:r w:rsidR="0019419E" w:rsidRPr="00B178DF">
        <w:rPr>
          <w:rFonts w:cstheme="minorHAnsi"/>
        </w:rPr>
        <w:t xml:space="preserve"> anlaşılmaktadır.</w:t>
      </w:r>
    </w:p>
    <w:p w:rsidR="00FA5FAD" w:rsidRPr="00B178DF" w:rsidRDefault="002318C2" w:rsidP="002318C2">
      <w:pPr>
        <w:spacing w:after="0" w:line="240" w:lineRule="atLeast"/>
        <w:ind w:firstLine="851"/>
        <w:contextualSpacing/>
        <w:jc w:val="both"/>
        <w:rPr>
          <w:rFonts w:cstheme="minorHAnsi"/>
          <w:color w:val="000000" w:themeColor="text1"/>
        </w:rPr>
      </w:pPr>
      <w:r w:rsidRPr="00B178DF">
        <w:rPr>
          <w:rFonts w:cstheme="minorHAnsi"/>
          <w:b/>
        </w:rPr>
        <w:t>20</w:t>
      </w:r>
      <w:r w:rsidR="00FA5FAD" w:rsidRPr="00B178DF">
        <w:rPr>
          <w:rFonts w:cstheme="minorHAnsi"/>
          <w:b/>
          <w:color w:val="000000" w:themeColor="text1"/>
        </w:rPr>
        <w:t>18</w:t>
      </w:r>
      <w:r w:rsidR="0019419E" w:rsidRPr="00B178DF">
        <w:rPr>
          <w:rFonts w:cstheme="minorHAnsi"/>
          <w:b/>
          <w:color w:val="000000" w:themeColor="text1"/>
        </w:rPr>
        <w:t xml:space="preserve"> </w:t>
      </w:r>
      <w:r w:rsidRPr="00B178DF">
        <w:rPr>
          <w:rFonts w:cstheme="minorHAnsi"/>
          <w:b/>
          <w:color w:val="000000" w:themeColor="text1"/>
        </w:rPr>
        <w:t>yılında toplam bütçe gelirleri bir önceki yıla göre</w:t>
      </w:r>
      <w:r w:rsidR="00696EDC">
        <w:rPr>
          <w:rFonts w:cstheme="minorHAnsi"/>
          <w:b/>
          <w:color w:val="000000" w:themeColor="text1"/>
        </w:rPr>
        <w:t xml:space="preserve"> </w:t>
      </w:r>
      <w:r w:rsidR="00FA5FAD" w:rsidRPr="00B178DF">
        <w:rPr>
          <w:rFonts w:cstheme="minorHAnsi"/>
          <w:b/>
          <w:color w:val="000000" w:themeColor="text1"/>
        </w:rPr>
        <w:t xml:space="preserve">  % 0,3</w:t>
      </w:r>
      <w:r w:rsidR="00696EDC">
        <w:rPr>
          <w:rFonts w:cstheme="minorHAnsi"/>
          <w:b/>
          <w:color w:val="000000" w:themeColor="text1"/>
        </w:rPr>
        <w:t xml:space="preserve"> oranında azal</w:t>
      </w:r>
      <w:r w:rsidRPr="00B178DF">
        <w:rPr>
          <w:rFonts w:cstheme="minorHAnsi"/>
          <w:b/>
          <w:color w:val="000000" w:themeColor="text1"/>
        </w:rPr>
        <w:t xml:space="preserve">mıştır.  </w:t>
      </w:r>
    </w:p>
    <w:p w:rsidR="002405ED" w:rsidRPr="00B178DF" w:rsidRDefault="002318C2" w:rsidP="006B3728">
      <w:pPr>
        <w:spacing w:after="0" w:line="240" w:lineRule="atLeast"/>
        <w:ind w:firstLine="851"/>
        <w:contextualSpacing/>
        <w:jc w:val="both"/>
        <w:rPr>
          <w:rFonts w:cstheme="minorHAnsi"/>
          <w:color w:val="000000" w:themeColor="text1"/>
        </w:rPr>
      </w:pPr>
      <w:r w:rsidRPr="00B178DF">
        <w:rPr>
          <w:rFonts w:cstheme="minorHAnsi"/>
          <w:color w:val="000000" w:themeColor="text1"/>
        </w:rPr>
        <w:t xml:space="preserve">Ankara Büyükşehir Belediyesi </w:t>
      </w:r>
      <w:r w:rsidR="00FA5FAD" w:rsidRPr="00B178DF">
        <w:rPr>
          <w:rFonts w:cstheme="minorHAnsi"/>
          <w:color w:val="000000" w:themeColor="text1"/>
        </w:rPr>
        <w:t>2018 yılı gelir gerçekleşmeleri</w:t>
      </w:r>
      <w:r w:rsidR="002405ED" w:rsidRPr="00B178DF">
        <w:rPr>
          <w:rFonts w:cstheme="minorHAnsi"/>
          <w:color w:val="000000" w:themeColor="text1"/>
        </w:rPr>
        <w:t>nde kayda değer artışlar</w:t>
      </w:r>
      <w:r w:rsidR="005A1658">
        <w:rPr>
          <w:rFonts w:cstheme="minorHAnsi"/>
          <w:color w:val="000000" w:themeColor="text1"/>
        </w:rPr>
        <w:t>;</w:t>
      </w:r>
      <w:r w:rsidR="002405ED" w:rsidRPr="00B178DF">
        <w:rPr>
          <w:rFonts w:cstheme="minorHAnsi"/>
          <w:color w:val="000000" w:themeColor="text1"/>
        </w:rPr>
        <w:t xml:space="preserve"> </w:t>
      </w:r>
      <w:r w:rsidR="00FA5FAD" w:rsidRPr="00B178DF">
        <w:rPr>
          <w:rFonts w:cstheme="minorHAnsi"/>
          <w:color w:val="000000" w:themeColor="text1"/>
        </w:rPr>
        <w:t>alacaklardan tahsilat, alınan bağış ve yardımlar ile</w:t>
      </w:r>
      <w:r w:rsidR="006B3728" w:rsidRPr="00B178DF">
        <w:rPr>
          <w:rFonts w:cstheme="minorHAnsi"/>
          <w:color w:val="000000" w:themeColor="text1"/>
        </w:rPr>
        <w:t xml:space="preserve"> teşebbüs ve mülkiyet gelirleri</w:t>
      </w:r>
      <w:r w:rsidR="00FA5FAD" w:rsidRPr="00B178DF">
        <w:rPr>
          <w:rFonts w:cstheme="minorHAnsi"/>
          <w:color w:val="000000" w:themeColor="text1"/>
        </w:rPr>
        <w:t xml:space="preserve"> kalemlerinde görülmektedir. </w:t>
      </w:r>
    </w:p>
    <w:p w:rsidR="002405ED" w:rsidRPr="00B178DF" w:rsidRDefault="00FA5FAD" w:rsidP="006B3728">
      <w:pPr>
        <w:spacing w:after="0" w:line="240" w:lineRule="atLeast"/>
        <w:ind w:firstLine="851"/>
        <w:contextualSpacing/>
        <w:jc w:val="both"/>
        <w:rPr>
          <w:rFonts w:cstheme="minorHAnsi"/>
          <w:color w:val="000000" w:themeColor="text1"/>
        </w:rPr>
      </w:pPr>
      <w:r w:rsidRPr="00B178DF">
        <w:rPr>
          <w:rFonts w:cstheme="minorHAnsi"/>
          <w:color w:val="000000" w:themeColor="text1"/>
        </w:rPr>
        <w:t>Faizler, paylar ve cezalardaki artış dahi % 5 civarında kalmıştır.</w:t>
      </w:r>
      <w:r w:rsidR="006B3728" w:rsidRPr="00B178DF">
        <w:rPr>
          <w:rFonts w:cstheme="minorHAnsi"/>
          <w:color w:val="000000" w:themeColor="text1"/>
        </w:rPr>
        <w:t xml:space="preserve"> </w:t>
      </w:r>
    </w:p>
    <w:p w:rsidR="002318C2" w:rsidRPr="00B178DF" w:rsidRDefault="006B3728" w:rsidP="006B3728">
      <w:pPr>
        <w:spacing w:after="0" w:line="240" w:lineRule="atLeast"/>
        <w:ind w:firstLine="851"/>
        <w:contextualSpacing/>
        <w:jc w:val="both"/>
        <w:rPr>
          <w:rFonts w:cstheme="minorHAnsi"/>
          <w:color w:val="000000" w:themeColor="text1"/>
        </w:rPr>
      </w:pPr>
      <w:r w:rsidRPr="00B178DF">
        <w:rPr>
          <w:rFonts w:cstheme="minorHAnsi"/>
          <w:color w:val="000000" w:themeColor="text1"/>
        </w:rPr>
        <w:t>Sermaye gelirlerinde %</w:t>
      </w:r>
      <w:r w:rsidR="00110C40">
        <w:rPr>
          <w:rFonts w:cstheme="minorHAnsi"/>
          <w:color w:val="000000" w:themeColor="text1"/>
        </w:rPr>
        <w:t xml:space="preserve"> </w:t>
      </w:r>
      <w:r w:rsidRPr="00B178DF">
        <w:rPr>
          <w:rFonts w:cstheme="minorHAnsi"/>
          <w:color w:val="000000" w:themeColor="text1"/>
        </w:rPr>
        <w:t>64, vergi gelirlerinde ise %23,5 oranlarında eksilme olmuştur.</w:t>
      </w:r>
    </w:p>
    <w:p w:rsidR="00F63ED3" w:rsidRPr="00B178DF" w:rsidRDefault="002318C2" w:rsidP="002318C2">
      <w:pPr>
        <w:spacing w:after="0" w:line="240" w:lineRule="atLeast"/>
        <w:ind w:firstLine="851"/>
        <w:contextualSpacing/>
        <w:jc w:val="both"/>
        <w:rPr>
          <w:rFonts w:cstheme="minorHAnsi"/>
          <w:szCs w:val="24"/>
        </w:rPr>
      </w:pPr>
      <w:r w:rsidRPr="00B178DF">
        <w:rPr>
          <w:rFonts w:cstheme="minorHAnsi"/>
          <w:szCs w:val="24"/>
        </w:rPr>
        <w:t>Belediye gelir büt</w:t>
      </w:r>
      <w:r w:rsidR="006B3728" w:rsidRPr="00B178DF">
        <w:rPr>
          <w:rFonts w:cstheme="minorHAnsi"/>
          <w:szCs w:val="24"/>
        </w:rPr>
        <w:t>çesi içinde en büyük payı; % 82</w:t>
      </w:r>
      <w:r w:rsidRPr="00B178DF">
        <w:rPr>
          <w:rFonts w:cstheme="minorHAnsi"/>
          <w:szCs w:val="24"/>
        </w:rPr>
        <w:t xml:space="preserve"> oranı ile faizler, payla</w:t>
      </w:r>
      <w:r w:rsidR="00110C40">
        <w:rPr>
          <w:rFonts w:cstheme="minorHAnsi"/>
          <w:szCs w:val="24"/>
        </w:rPr>
        <w:t xml:space="preserve">r ve cezalar kalemi almaktadır. </w:t>
      </w:r>
      <w:r w:rsidRPr="00B178DF">
        <w:rPr>
          <w:rFonts w:cstheme="minorHAnsi"/>
          <w:szCs w:val="24"/>
        </w:rPr>
        <w:t>İller Bankası aracılığıyla belediyelere gönderilen Merkezi Yönetim Bütçesi gelirlerinden alınan pay</w:t>
      </w:r>
      <w:r w:rsidR="002C0C18" w:rsidRPr="00B178DF">
        <w:rPr>
          <w:rFonts w:cstheme="minorHAnsi"/>
          <w:szCs w:val="24"/>
        </w:rPr>
        <w:t>lar</w:t>
      </w:r>
      <w:r w:rsidR="00110C40">
        <w:rPr>
          <w:rFonts w:cstheme="minorHAnsi"/>
          <w:szCs w:val="24"/>
        </w:rPr>
        <w:t xml:space="preserve"> </w:t>
      </w:r>
      <w:r w:rsidR="002C0C18" w:rsidRPr="00B178DF">
        <w:rPr>
          <w:rFonts w:cstheme="minorHAnsi"/>
          <w:szCs w:val="24"/>
        </w:rPr>
        <w:t>da</w:t>
      </w:r>
      <w:r w:rsidR="002C0C18" w:rsidRPr="00B178DF">
        <w:rPr>
          <w:rFonts w:cstheme="minorHAnsi"/>
          <w:b/>
          <w:szCs w:val="24"/>
        </w:rPr>
        <w:t xml:space="preserve"> </w:t>
      </w:r>
      <w:r w:rsidR="002C0C18" w:rsidRPr="00B178DF">
        <w:rPr>
          <w:rFonts w:cstheme="minorHAnsi"/>
          <w:szCs w:val="24"/>
        </w:rPr>
        <w:t>bu bölüm içinde yer almakta</w:t>
      </w:r>
      <w:r w:rsidR="00F63ED3" w:rsidRPr="00B178DF">
        <w:rPr>
          <w:rFonts w:cstheme="minorHAnsi"/>
          <w:szCs w:val="24"/>
        </w:rPr>
        <w:t>, temel belediye gelirlerini oluşturmaktadır.</w:t>
      </w:r>
      <w:r w:rsidR="002C0C18" w:rsidRPr="00B178DF">
        <w:rPr>
          <w:rFonts w:cstheme="minorHAnsi"/>
          <w:szCs w:val="24"/>
        </w:rPr>
        <w:t xml:space="preserve"> </w:t>
      </w:r>
    </w:p>
    <w:p w:rsidR="002318C2" w:rsidRPr="00B178DF" w:rsidRDefault="00F63ED3" w:rsidP="002318C2">
      <w:pPr>
        <w:spacing w:after="0" w:line="240" w:lineRule="atLeast"/>
        <w:ind w:firstLine="851"/>
        <w:contextualSpacing/>
        <w:jc w:val="both"/>
        <w:rPr>
          <w:rFonts w:cstheme="minorHAnsi"/>
          <w:szCs w:val="24"/>
        </w:rPr>
      </w:pPr>
      <w:r w:rsidRPr="00B178DF">
        <w:rPr>
          <w:rFonts w:cstheme="minorHAnsi"/>
          <w:b/>
          <w:szCs w:val="24"/>
        </w:rPr>
        <w:t xml:space="preserve">Nitekim </w:t>
      </w:r>
      <w:r w:rsidR="00042A54">
        <w:rPr>
          <w:rFonts w:cstheme="minorHAnsi"/>
          <w:b/>
          <w:szCs w:val="24"/>
        </w:rPr>
        <w:t>2018</w:t>
      </w:r>
      <w:r w:rsidR="002C0C18" w:rsidRPr="00B178DF">
        <w:rPr>
          <w:rFonts w:cstheme="minorHAnsi"/>
          <w:b/>
          <w:szCs w:val="24"/>
        </w:rPr>
        <w:t xml:space="preserve"> yılı gelir bütçesindeki</w:t>
      </w:r>
      <w:r w:rsidRPr="00B178DF">
        <w:rPr>
          <w:rFonts w:cstheme="minorHAnsi"/>
          <w:b/>
          <w:szCs w:val="24"/>
        </w:rPr>
        <w:t xml:space="preserve"> İller Bankası aracılığıyla tahsil edilen</w:t>
      </w:r>
      <w:r w:rsidR="00042A54">
        <w:rPr>
          <w:rFonts w:cstheme="minorHAnsi"/>
          <w:b/>
          <w:szCs w:val="24"/>
        </w:rPr>
        <w:t xml:space="preserve"> merkezi yönetim</w:t>
      </w:r>
      <w:r w:rsidRPr="00B178DF">
        <w:rPr>
          <w:rFonts w:cstheme="minorHAnsi"/>
          <w:b/>
          <w:szCs w:val="24"/>
        </w:rPr>
        <w:t xml:space="preserve"> vergi payları</w:t>
      </w:r>
      <w:r w:rsidR="002C0C18" w:rsidRPr="00B178DF">
        <w:rPr>
          <w:rFonts w:cstheme="minorHAnsi"/>
          <w:szCs w:val="24"/>
        </w:rPr>
        <w:t xml:space="preserve"> </w:t>
      </w:r>
      <w:r w:rsidR="00042A54">
        <w:rPr>
          <w:rFonts w:cstheme="minorHAnsi"/>
          <w:b/>
          <w:szCs w:val="24"/>
        </w:rPr>
        <w:t xml:space="preserve"> ( 4.191.619.836</w:t>
      </w:r>
      <w:r w:rsidR="002318C2" w:rsidRPr="00B178DF">
        <w:rPr>
          <w:rFonts w:cstheme="minorHAnsi"/>
          <w:b/>
          <w:szCs w:val="24"/>
        </w:rPr>
        <w:t xml:space="preserve"> TL </w:t>
      </w:r>
      <w:r w:rsidRPr="00B178DF">
        <w:rPr>
          <w:rFonts w:cstheme="minorHAnsi"/>
          <w:b/>
          <w:szCs w:val="24"/>
        </w:rPr>
        <w:t xml:space="preserve">) </w:t>
      </w:r>
      <w:r w:rsidR="002318C2" w:rsidRPr="00B178DF">
        <w:rPr>
          <w:rFonts w:cstheme="minorHAnsi"/>
          <w:b/>
          <w:szCs w:val="24"/>
        </w:rPr>
        <w:t xml:space="preserve">  tek baş</w:t>
      </w:r>
      <w:r w:rsidR="0020385F">
        <w:rPr>
          <w:rFonts w:cstheme="minorHAnsi"/>
          <w:b/>
          <w:szCs w:val="24"/>
        </w:rPr>
        <w:t>ına,  ABB’</w:t>
      </w:r>
      <w:r w:rsidR="00042A54">
        <w:rPr>
          <w:rFonts w:cstheme="minorHAnsi"/>
          <w:b/>
          <w:szCs w:val="24"/>
        </w:rPr>
        <w:t xml:space="preserve"> </w:t>
      </w:r>
      <w:r w:rsidR="002318C2" w:rsidRPr="00B178DF">
        <w:rPr>
          <w:rFonts w:cstheme="minorHAnsi"/>
          <w:b/>
          <w:szCs w:val="24"/>
        </w:rPr>
        <w:t>sinin toplam bütçe g</w:t>
      </w:r>
      <w:r w:rsidR="00042A54">
        <w:rPr>
          <w:rFonts w:cstheme="minorHAnsi"/>
          <w:b/>
          <w:szCs w:val="24"/>
        </w:rPr>
        <w:t>elirlerinin % 69,4</w:t>
      </w:r>
      <w:r w:rsidR="002318C2" w:rsidRPr="00B178DF">
        <w:rPr>
          <w:rFonts w:cstheme="minorHAnsi"/>
          <w:b/>
          <w:szCs w:val="24"/>
        </w:rPr>
        <w:t>’üne karşılık gelmektedir</w:t>
      </w:r>
      <w:r w:rsidR="002318C2" w:rsidRPr="00B178DF">
        <w:rPr>
          <w:rFonts w:cstheme="minorHAnsi"/>
          <w:szCs w:val="24"/>
        </w:rPr>
        <w:t>.</w:t>
      </w:r>
    </w:p>
    <w:p w:rsidR="00F63ED3" w:rsidRPr="00B178DF" w:rsidRDefault="00B178DF" w:rsidP="008A7A8C">
      <w:pPr>
        <w:spacing w:after="0" w:line="240" w:lineRule="atLeast"/>
        <w:ind w:firstLine="851"/>
        <w:contextualSpacing/>
        <w:jc w:val="both"/>
        <w:rPr>
          <w:rFonts w:eastAsiaTheme="majorEastAsia" w:cstheme="minorHAnsi"/>
          <w:b/>
          <w:szCs w:val="24"/>
          <w:lang w:bidi="en-US"/>
        </w:rPr>
      </w:pPr>
      <w:r>
        <w:rPr>
          <w:rFonts w:eastAsiaTheme="majorEastAsia" w:cstheme="minorHAnsi"/>
          <w:b/>
          <w:szCs w:val="24"/>
          <w:lang w:bidi="en-US"/>
        </w:rPr>
        <w:t xml:space="preserve">8- </w:t>
      </w:r>
      <w:proofErr w:type="spellStart"/>
      <w:r w:rsidR="00F63ED3" w:rsidRPr="00B178DF">
        <w:rPr>
          <w:rFonts w:eastAsiaTheme="majorEastAsia" w:cstheme="minorHAnsi"/>
          <w:b/>
          <w:szCs w:val="24"/>
          <w:lang w:bidi="en-US"/>
        </w:rPr>
        <w:t>ABB</w:t>
      </w:r>
      <w:r w:rsidR="00042A54">
        <w:rPr>
          <w:rFonts w:eastAsiaTheme="majorEastAsia" w:cstheme="minorHAnsi"/>
          <w:b/>
          <w:szCs w:val="24"/>
          <w:lang w:bidi="en-US"/>
        </w:rPr>
        <w:t>’de</w:t>
      </w:r>
      <w:proofErr w:type="spellEnd"/>
      <w:r w:rsidR="00F63ED3" w:rsidRPr="00B178DF">
        <w:rPr>
          <w:rFonts w:eastAsiaTheme="majorEastAsia" w:cstheme="minorHAnsi"/>
          <w:b/>
          <w:szCs w:val="24"/>
          <w:lang w:bidi="en-US"/>
        </w:rPr>
        <w:t xml:space="preserve"> son yıllarda yoğun olarak bina/arsa satışları yapıldığı,</w:t>
      </w:r>
      <w:r w:rsidR="00042A54">
        <w:rPr>
          <w:rFonts w:eastAsiaTheme="majorEastAsia" w:cstheme="minorHAnsi"/>
          <w:b/>
          <w:szCs w:val="24"/>
          <w:lang w:bidi="en-US"/>
        </w:rPr>
        <w:t xml:space="preserve"> taşınmaz satışlarının gelir sağlama yolu olarak kabul edildiği, </w:t>
      </w:r>
      <w:r w:rsidR="008A7A8C">
        <w:rPr>
          <w:rFonts w:eastAsiaTheme="majorEastAsia" w:cstheme="minorHAnsi"/>
          <w:b/>
          <w:szCs w:val="24"/>
          <w:lang w:bidi="en-US"/>
        </w:rPr>
        <w:t>bu bakımdan</w:t>
      </w:r>
      <w:r w:rsidR="00042A54">
        <w:rPr>
          <w:rFonts w:eastAsiaTheme="majorEastAsia" w:cstheme="minorHAnsi"/>
          <w:b/>
          <w:szCs w:val="24"/>
          <w:lang w:bidi="en-US"/>
        </w:rPr>
        <w:t xml:space="preserve"> </w:t>
      </w:r>
      <w:r w:rsidR="00F63ED3" w:rsidRPr="00B178DF">
        <w:rPr>
          <w:rFonts w:eastAsiaTheme="majorEastAsia" w:cstheme="minorHAnsi"/>
          <w:b/>
          <w:szCs w:val="24"/>
          <w:lang w:bidi="en-US"/>
        </w:rPr>
        <w:t>İller Bankası aracılığıyla dağıtımı yapılan m</w:t>
      </w:r>
      <w:r w:rsidR="008A7A8C">
        <w:rPr>
          <w:rFonts w:eastAsiaTheme="majorEastAsia" w:cstheme="minorHAnsi"/>
          <w:b/>
          <w:szCs w:val="24"/>
          <w:lang w:bidi="en-US"/>
        </w:rPr>
        <w:t>erkezi yönetim vergi payları gelirinden</w:t>
      </w:r>
      <w:r w:rsidR="00F63ED3" w:rsidRPr="00B178DF">
        <w:rPr>
          <w:rFonts w:eastAsiaTheme="majorEastAsia" w:cstheme="minorHAnsi"/>
          <w:b/>
          <w:szCs w:val="24"/>
          <w:lang w:bidi="en-US"/>
        </w:rPr>
        <w:t xml:space="preserve"> sonra, belediyenin ikinci sırada yer alan en büyük gelir kaynağının bina ve arsa satışlarından sağlanan sermaye gelirleri</w:t>
      </w:r>
      <w:r w:rsidR="00042A54">
        <w:rPr>
          <w:rFonts w:eastAsiaTheme="majorEastAsia" w:cstheme="minorHAnsi"/>
          <w:b/>
          <w:szCs w:val="24"/>
          <w:lang w:bidi="en-US"/>
        </w:rPr>
        <w:t xml:space="preserve"> olduğu</w:t>
      </w:r>
      <w:r w:rsidR="008A7A8C">
        <w:rPr>
          <w:rFonts w:eastAsiaTheme="majorEastAsia" w:cstheme="minorHAnsi"/>
          <w:b/>
          <w:szCs w:val="24"/>
          <w:lang w:bidi="en-US"/>
        </w:rPr>
        <w:t xml:space="preserve"> anlaşılmıştır.</w:t>
      </w:r>
    </w:p>
    <w:p w:rsidR="00B178DF" w:rsidRDefault="00F63ED3" w:rsidP="00B178DF">
      <w:pPr>
        <w:spacing w:after="0" w:line="240" w:lineRule="atLeast"/>
        <w:ind w:firstLine="851"/>
        <w:contextualSpacing/>
        <w:jc w:val="both"/>
        <w:rPr>
          <w:rFonts w:eastAsiaTheme="majorEastAsia" w:cstheme="minorHAnsi"/>
          <w:szCs w:val="24"/>
          <w:lang w:bidi="en-US"/>
        </w:rPr>
      </w:pPr>
      <w:r w:rsidRPr="00B178DF">
        <w:rPr>
          <w:rFonts w:eastAsiaTheme="majorEastAsia" w:cstheme="minorHAnsi"/>
          <w:szCs w:val="24"/>
          <w:lang w:bidi="en-US"/>
        </w:rPr>
        <w:t>Arsa ve bina satışından elde edilmiş gelirlerin ve toplam bütçe gelirlerine ora</w:t>
      </w:r>
      <w:r w:rsidR="0020385F">
        <w:rPr>
          <w:rFonts w:eastAsiaTheme="majorEastAsia" w:cstheme="minorHAnsi"/>
          <w:szCs w:val="24"/>
          <w:lang w:bidi="en-US"/>
        </w:rPr>
        <w:t>nına iliş</w:t>
      </w:r>
      <w:r w:rsidR="009877C2">
        <w:rPr>
          <w:rFonts w:eastAsiaTheme="majorEastAsia" w:cstheme="minorHAnsi"/>
          <w:szCs w:val="24"/>
          <w:lang w:bidi="en-US"/>
        </w:rPr>
        <w:t>kin bilgiler Tablo 4’te aşağıda</w:t>
      </w:r>
      <w:r w:rsidRPr="00B178DF">
        <w:rPr>
          <w:rFonts w:eastAsiaTheme="majorEastAsia" w:cstheme="minorHAnsi"/>
          <w:szCs w:val="24"/>
          <w:lang w:bidi="en-US"/>
        </w:rPr>
        <w:t xml:space="preserve"> gösterilmiştir.</w:t>
      </w:r>
    </w:p>
    <w:p w:rsidR="00F63ED3" w:rsidRPr="00F63ED3" w:rsidRDefault="0020385F" w:rsidP="00B178DF">
      <w:pPr>
        <w:spacing w:after="0" w:line="240" w:lineRule="atLeast"/>
        <w:ind w:firstLine="851"/>
        <w:contextualSpacing/>
        <w:jc w:val="both"/>
        <w:rPr>
          <w:rFonts w:eastAsiaTheme="majorEastAsia" w:cstheme="minorHAnsi"/>
          <w:szCs w:val="24"/>
          <w:lang w:bidi="en-US"/>
        </w:rPr>
      </w:pPr>
      <w:r>
        <w:rPr>
          <w:rFonts w:ascii="Times New Roman" w:eastAsiaTheme="majorEastAsia" w:hAnsi="Times New Roman" w:cs="Times New Roman"/>
          <w:b/>
          <w:sz w:val="20"/>
          <w:szCs w:val="24"/>
          <w:lang w:bidi="en-US"/>
        </w:rPr>
        <w:t>Tablo: 4</w:t>
      </w:r>
      <w:r w:rsidR="00F63ED3" w:rsidRPr="00F63ED3">
        <w:rPr>
          <w:rFonts w:ascii="Times New Roman" w:eastAsiaTheme="majorEastAsia" w:hAnsi="Times New Roman" w:cs="Times New Roman"/>
          <w:b/>
          <w:sz w:val="20"/>
          <w:szCs w:val="24"/>
          <w:lang w:bidi="en-US"/>
        </w:rPr>
        <w:t xml:space="preserve"> Yıllar İtibarıyla ABB Toplam Gelir Bütçesi ve Sermaye Gelirlerinde Gerçekleşmeler  (1000 TL)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607"/>
        <w:gridCol w:w="1466"/>
        <w:gridCol w:w="1701"/>
        <w:gridCol w:w="1276"/>
      </w:tblGrid>
      <w:tr w:rsidR="00F63ED3" w:rsidRPr="00F63ED3" w:rsidTr="00DD326C">
        <w:trPr>
          <w:trHeight w:val="667"/>
          <w:jc w:val="center"/>
        </w:trPr>
        <w:tc>
          <w:tcPr>
            <w:tcW w:w="0" w:type="auto"/>
          </w:tcPr>
          <w:p w:rsidR="00F63ED3" w:rsidRPr="00F63ED3" w:rsidRDefault="00F63ED3" w:rsidP="00F63E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0" w:type="auto"/>
          </w:tcPr>
          <w:p w:rsidR="00F63ED3" w:rsidRPr="00F63ED3" w:rsidRDefault="00F63ED3" w:rsidP="00F63E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Yıllar</w:t>
            </w:r>
          </w:p>
        </w:tc>
        <w:tc>
          <w:tcPr>
            <w:tcW w:w="1466" w:type="dxa"/>
          </w:tcPr>
          <w:p w:rsidR="00F63ED3" w:rsidRPr="00F63ED3" w:rsidRDefault="00F63ED3" w:rsidP="00F63E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Gerçekleşen Bütçe Gelirleri</w:t>
            </w:r>
          </w:p>
          <w:p w:rsidR="00F63ED3" w:rsidRPr="00F63ED3" w:rsidRDefault="00F63ED3" w:rsidP="00F63E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Toplamı</w:t>
            </w:r>
          </w:p>
        </w:tc>
        <w:tc>
          <w:tcPr>
            <w:tcW w:w="1701" w:type="dxa"/>
          </w:tcPr>
          <w:p w:rsidR="00F63ED3" w:rsidRPr="00F63ED3" w:rsidRDefault="00F63ED3" w:rsidP="00F63E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 xml:space="preserve">Gerçekleşmiş Sermaye Gelirleri Toplamı </w:t>
            </w:r>
          </w:p>
        </w:tc>
        <w:tc>
          <w:tcPr>
            <w:tcW w:w="1276" w:type="dxa"/>
          </w:tcPr>
          <w:p w:rsidR="00F63ED3" w:rsidRPr="00F63ED3" w:rsidRDefault="00F63ED3" w:rsidP="00F63ED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 xml:space="preserve"> Gelir Bütçesi Toplamına Oranı (%)</w:t>
            </w:r>
          </w:p>
        </w:tc>
      </w:tr>
      <w:tr w:rsidR="00F63ED3" w:rsidRPr="00F63ED3" w:rsidTr="00DD326C">
        <w:trPr>
          <w:trHeight w:val="294"/>
          <w:jc w:val="center"/>
        </w:trPr>
        <w:tc>
          <w:tcPr>
            <w:tcW w:w="0" w:type="auto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66" w:type="dxa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4.389.394</w:t>
            </w:r>
          </w:p>
        </w:tc>
        <w:tc>
          <w:tcPr>
            <w:tcW w:w="1701" w:type="dxa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1.007.160</w:t>
            </w:r>
          </w:p>
        </w:tc>
        <w:tc>
          <w:tcPr>
            <w:tcW w:w="1276" w:type="dxa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63ED3" w:rsidRPr="00F63ED3" w:rsidTr="00DD326C">
        <w:trPr>
          <w:trHeight w:val="292"/>
          <w:jc w:val="center"/>
        </w:trPr>
        <w:tc>
          <w:tcPr>
            <w:tcW w:w="0" w:type="auto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66" w:type="dxa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5.366.542</w:t>
            </w:r>
          </w:p>
        </w:tc>
        <w:tc>
          <w:tcPr>
            <w:tcW w:w="1701" w:type="dxa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1.297.032</w:t>
            </w:r>
          </w:p>
        </w:tc>
        <w:tc>
          <w:tcPr>
            <w:tcW w:w="1276" w:type="dxa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63ED3" w:rsidRPr="00F63ED3" w:rsidTr="00DD326C">
        <w:trPr>
          <w:trHeight w:val="404"/>
          <w:jc w:val="center"/>
        </w:trPr>
        <w:tc>
          <w:tcPr>
            <w:tcW w:w="0" w:type="auto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66" w:type="dxa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6.062.147</w:t>
            </w:r>
          </w:p>
        </w:tc>
        <w:tc>
          <w:tcPr>
            <w:tcW w:w="1701" w:type="dxa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1.008.534</w:t>
            </w:r>
          </w:p>
        </w:tc>
        <w:tc>
          <w:tcPr>
            <w:tcW w:w="1276" w:type="dxa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F63ED3" w:rsidRPr="00F63ED3" w:rsidTr="00DD326C">
        <w:trPr>
          <w:trHeight w:val="268"/>
          <w:jc w:val="center"/>
        </w:trPr>
        <w:tc>
          <w:tcPr>
            <w:tcW w:w="0" w:type="auto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66" w:type="dxa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6.043.723</w:t>
            </w:r>
          </w:p>
        </w:tc>
        <w:tc>
          <w:tcPr>
            <w:tcW w:w="1701" w:type="dxa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363.368</w:t>
            </w:r>
          </w:p>
        </w:tc>
        <w:tc>
          <w:tcPr>
            <w:tcW w:w="1276" w:type="dxa"/>
          </w:tcPr>
          <w:p w:rsidR="00F63ED3" w:rsidRPr="00F63ED3" w:rsidRDefault="00F63ED3" w:rsidP="00F63ED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E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63ED3" w:rsidRPr="00F63ED3" w:rsidRDefault="00F63ED3" w:rsidP="00F63ED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2"/>
          <w:szCs w:val="24"/>
        </w:rPr>
      </w:pPr>
      <w:r w:rsidRPr="00F63ED3">
        <w:rPr>
          <w:rFonts w:ascii="Times New Roman" w:hAnsi="Times New Roman" w:cs="Times New Roman"/>
          <w:b/>
          <w:sz w:val="22"/>
          <w:szCs w:val="24"/>
        </w:rPr>
        <w:t xml:space="preserve">                   </w:t>
      </w:r>
      <w:r w:rsidR="00F201D4" w:rsidRPr="00F201D4">
        <w:rPr>
          <w:rFonts w:ascii="Times New Roman" w:hAnsi="Times New Roman" w:cs="Times New Roman"/>
          <w:b/>
          <w:sz w:val="18"/>
          <w:szCs w:val="18"/>
        </w:rPr>
        <w:t>Kaynak:</w:t>
      </w:r>
      <w:r w:rsidR="00F201D4" w:rsidRPr="008E7B2E">
        <w:rPr>
          <w:rFonts w:ascii="Times New Roman" w:hAnsi="Times New Roman" w:cs="Times New Roman"/>
          <w:sz w:val="18"/>
          <w:szCs w:val="18"/>
        </w:rPr>
        <w:t xml:space="preserve"> T.C. Sayıştay Başkanlığı , (2018),  Ankara Büyükşehir Belediyesi Sayıştay Denetim Raporu;  Ankara Büyükşehir Belediyesi</w:t>
      </w:r>
      <w:r w:rsidR="00F201D4">
        <w:rPr>
          <w:rFonts w:ascii="Times New Roman" w:hAnsi="Times New Roman" w:cs="Times New Roman"/>
          <w:sz w:val="18"/>
          <w:szCs w:val="18"/>
        </w:rPr>
        <w:t xml:space="preserve">nin </w:t>
      </w:r>
      <w:r w:rsidR="00F201D4" w:rsidRPr="008E7B2E">
        <w:rPr>
          <w:rFonts w:ascii="Times New Roman" w:hAnsi="Times New Roman" w:cs="Times New Roman"/>
          <w:sz w:val="18"/>
          <w:szCs w:val="18"/>
        </w:rPr>
        <w:t xml:space="preserve"> “2017 </w:t>
      </w:r>
      <w:r w:rsidR="00F201D4">
        <w:rPr>
          <w:rFonts w:ascii="Times New Roman" w:hAnsi="Times New Roman" w:cs="Times New Roman"/>
          <w:sz w:val="18"/>
          <w:szCs w:val="18"/>
        </w:rPr>
        <w:t xml:space="preserve">ve 2018 yıllarına ait faaliyet raporları” verilerine </w:t>
      </w:r>
      <w:r w:rsidR="00F201D4" w:rsidRPr="008E7B2E">
        <w:rPr>
          <w:rFonts w:ascii="Times New Roman" w:hAnsi="Times New Roman" w:cs="Times New Roman"/>
          <w:sz w:val="18"/>
          <w:szCs w:val="18"/>
        </w:rPr>
        <w:t>dayanılarak hazırlanmıştır</w:t>
      </w:r>
      <w:r w:rsidR="00F201D4">
        <w:rPr>
          <w:rFonts w:ascii="Times New Roman" w:hAnsi="Times New Roman" w:cs="Times New Roman"/>
          <w:sz w:val="18"/>
          <w:szCs w:val="18"/>
        </w:rPr>
        <w:t>.</w:t>
      </w:r>
    </w:p>
    <w:p w:rsidR="00F63ED3" w:rsidRPr="00F63ED3" w:rsidRDefault="00F63ED3" w:rsidP="00B178DF">
      <w:pPr>
        <w:spacing w:after="0" w:line="240" w:lineRule="atLeast"/>
        <w:ind w:firstLine="851"/>
        <w:contextualSpacing/>
        <w:jc w:val="both"/>
        <w:rPr>
          <w:rFonts w:cstheme="minorHAnsi"/>
          <w:szCs w:val="24"/>
        </w:rPr>
      </w:pPr>
      <w:r w:rsidRPr="00F63ED3">
        <w:rPr>
          <w:rFonts w:cstheme="minorHAnsi"/>
          <w:szCs w:val="24"/>
        </w:rPr>
        <w:t>Tablo incelenmesinde anlaşılacağı üzere, 2015-2017 yıllarında her yıl 1 milyar TL tutarın</w:t>
      </w:r>
      <w:r w:rsidR="00B178DF">
        <w:rPr>
          <w:rFonts w:cstheme="minorHAnsi"/>
          <w:szCs w:val="24"/>
        </w:rPr>
        <w:t xml:space="preserve">da taşınmaz satışı yapılmıştır. </w:t>
      </w:r>
      <w:r w:rsidRPr="00F63ED3">
        <w:rPr>
          <w:rFonts w:cstheme="minorHAnsi"/>
          <w:szCs w:val="24"/>
        </w:rPr>
        <w:t>Taşınmaz satışlarından elde edilmiş gelirler, gelir bütçesi toplamının %16-24 ‘üne karşılık gelmektedir.</w:t>
      </w:r>
    </w:p>
    <w:p w:rsidR="00B178DF" w:rsidRDefault="00F63ED3" w:rsidP="00B178DF">
      <w:pPr>
        <w:spacing w:after="0" w:line="240" w:lineRule="atLeast"/>
        <w:contextualSpacing/>
        <w:jc w:val="both"/>
        <w:rPr>
          <w:rFonts w:cstheme="minorHAnsi"/>
          <w:szCs w:val="24"/>
        </w:rPr>
      </w:pPr>
      <w:r w:rsidRPr="00F63ED3">
        <w:rPr>
          <w:rFonts w:cstheme="minorHAnsi"/>
          <w:szCs w:val="24"/>
        </w:rPr>
        <w:t xml:space="preserve">                  Bu oranın çok yüksek olduğu bellidir. Zira 2017 yılında büyükşehir belediyelerinde sermaye gelirlerinin toplam gelirlerine oranı ( Türkiye ortalaması)   % 6,6 seviyesindedir.</w:t>
      </w:r>
    </w:p>
    <w:p w:rsidR="00E96235" w:rsidRPr="00B178DF" w:rsidRDefault="00F63ED3" w:rsidP="00B178DF">
      <w:pPr>
        <w:spacing w:after="0" w:line="240" w:lineRule="atLeast"/>
        <w:ind w:firstLine="851"/>
        <w:contextualSpacing/>
        <w:jc w:val="both"/>
        <w:rPr>
          <w:rFonts w:cstheme="minorHAnsi"/>
          <w:szCs w:val="24"/>
        </w:rPr>
      </w:pPr>
      <w:proofErr w:type="gramStart"/>
      <w:r w:rsidRPr="00B178DF">
        <w:rPr>
          <w:rFonts w:cstheme="minorHAnsi"/>
          <w:b/>
          <w:szCs w:val="24"/>
        </w:rPr>
        <w:t>(</w:t>
      </w:r>
      <w:proofErr w:type="gramEnd"/>
      <w:r w:rsidRPr="00B178DF">
        <w:rPr>
          <w:rFonts w:cstheme="minorHAnsi"/>
          <w:b/>
          <w:szCs w:val="24"/>
        </w:rPr>
        <w:t xml:space="preserve">2019 </w:t>
      </w:r>
      <w:r w:rsidR="00B178DF">
        <w:rPr>
          <w:rFonts w:cstheme="minorHAnsi"/>
          <w:b/>
          <w:szCs w:val="24"/>
        </w:rPr>
        <w:t xml:space="preserve">yılı gelir </w:t>
      </w:r>
      <w:r w:rsidRPr="00B178DF">
        <w:rPr>
          <w:rFonts w:cstheme="minorHAnsi"/>
          <w:b/>
          <w:szCs w:val="24"/>
        </w:rPr>
        <w:t>bütçe</w:t>
      </w:r>
      <w:r w:rsidR="00B178DF">
        <w:rPr>
          <w:rFonts w:cstheme="minorHAnsi"/>
          <w:b/>
          <w:szCs w:val="24"/>
        </w:rPr>
        <w:t>si</w:t>
      </w:r>
      <w:r w:rsidRPr="00B178DF">
        <w:rPr>
          <w:rFonts w:cstheme="minorHAnsi"/>
          <w:b/>
          <w:szCs w:val="24"/>
        </w:rPr>
        <w:t xml:space="preserve"> tahminlerinde sermaye gelirlerinin toplam gelirlere oranını</w:t>
      </w:r>
      <w:r w:rsidR="008239BC" w:rsidRPr="00B178DF">
        <w:rPr>
          <w:rFonts w:cstheme="minorHAnsi"/>
          <w:b/>
          <w:szCs w:val="24"/>
        </w:rPr>
        <w:t>n</w:t>
      </w:r>
      <w:r w:rsidRPr="00B178DF">
        <w:rPr>
          <w:rFonts w:cstheme="minorHAnsi"/>
          <w:b/>
          <w:szCs w:val="24"/>
        </w:rPr>
        <w:t xml:space="preserve"> </w:t>
      </w:r>
      <w:r w:rsidR="00B178DF">
        <w:rPr>
          <w:rFonts w:cstheme="minorHAnsi"/>
          <w:b/>
          <w:szCs w:val="24"/>
        </w:rPr>
        <w:t xml:space="preserve">daha da yükseltilmiş olduğu </w:t>
      </w:r>
      <w:r w:rsidRPr="00B178DF">
        <w:rPr>
          <w:rFonts w:cstheme="minorHAnsi"/>
          <w:b/>
          <w:szCs w:val="24"/>
        </w:rPr>
        <w:t>görülmektedir. Nitekim 2019 yılı gelir bütçesinde tahmin edilmiş 8,8 milyar T</w:t>
      </w:r>
      <w:r w:rsidR="008239BC" w:rsidRPr="00B178DF">
        <w:rPr>
          <w:rFonts w:cstheme="minorHAnsi"/>
          <w:b/>
          <w:szCs w:val="24"/>
        </w:rPr>
        <w:t>L toplam gelirin 3 milyar TL si</w:t>
      </w:r>
      <w:r w:rsidRPr="00B178DF">
        <w:rPr>
          <w:rFonts w:cstheme="minorHAnsi"/>
          <w:b/>
          <w:szCs w:val="24"/>
        </w:rPr>
        <w:t xml:space="preserve"> (%34) ü</w:t>
      </w:r>
      <w:r w:rsidR="008239BC" w:rsidRPr="00B178DF">
        <w:rPr>
          <w:rFonts w:cstheme="minorHAnsi"/>
          <w:b/>
          <w:szCs w:val="24"/>
        </w:rPr>
        <w:t>,</w:t>
      </w:r>
      <w:r w:rsidRPr="00B178DF">
        <w:rPr>
          <w:rFonts w:cstheme="minorHAnsi"/>
          <w:b/>
          <w:szCs w:val="24"/>
        </w:rPr>
        <w:t xml:space="preserve"> sermaye gelirlerine aittir</w:t>
      </w:r>
      <w:r w:rsidR="00046826" w:rsidRPr="00B178DF">
        <w:rPr>
          <w:rFonts w:cstheme="minorHAnsi"/>
          <w:b/>
          <w:szCs w:val="24"/>
        </w:rPr>
        <w:t xml:space="preserve">. 2018 yılı itibarıyla </w:t>
      </w:r>
      <w:r w:rsidR="00046826" w:rsidRPr="00B178DF">
        <w:rPr>
          <w:rFonts w:cstheme="minorHAnsi"/>
          <w:b/>
          <w:szCs w:val="24"/>
        </w:rPr>
        <w:lastRenderedPageBreak/>
        <w:t xml:space="preserve">24,9 milyar TL </w:t>
      </w:r>
      <w:r w:rsidR="0099436D">
        <w:rPr>
          <w:rFonts w:cstheme="minorHAnsi"/>
          <w:b/>
          <w:szCs w:val="24"/>
        </w:rPr>
        <w:t xml:space="preserve">olarak belirlenmiş olan </w:t>
      </w:r>
      <w:r w:rsidR="00046826" w:rsidRPr="00B178DF">
        <w:rPr>
          <w:rFonts w:cstheme="minorHAnsi"/>
          <w:b/>
          <w:szCs w:val="24"/>
        </w:rPr>
        <w:t xml:space="preserve">maddi duran varlıkların </w:t>
      </w:r>
      <w:r w:rsidR="00B178DF">
        <w:rPr>
          <w:rFonts w:cstheme="minorHAnsi"/>
          <w:b/>
          <w:szCs w:val="24"/>
        </w:rPr>
        <w:t>1/8 ‘inin satışı</w:t>
      </w:r>
      <w:r w:rsidR="0099436D">
        <w:rPr>
          <w:rFonts w:cstheme="minorHAnsi"/>
          <w:b/>
          <w:szCs w:val="24"/>
        </w:rPr>
        <w:t>nın</w:t>
      </w:r>
      <w:r w:rsidR="00B178DF">
        <w:rPr>
          <w:rFonts w:cstheme="minorHAnsi"/>
          <w:b/>
          <w:szCs w:val="24"/>
        </w:rPr>
        <w:t xml:space="preserve"> öngörüldüğü anlaşılmaktadır</w:t>
      </w:r>
      <w:r w:rsidR="008239BC" w:rsidRPr="008239BC">
        <w:rPr>
          <w:rFonts w:cstheme="minorHAnsi"/>
          <w:szCs w:val="24"/>
        </w:rPr>
        <w:t>.</w:t>
      </w:r>
      <w:proofErr w:type="gramStart"/>
      <w:r w:rsidR="00046826">
        <w:rPr>
          <w:rFonts w:cstheme="minorHAnsi"/>
          <w:b/>
          <w:szCs w:val="24"/>
        </w:rPr>
        <w:t>)</w:t>
      </w:r>
      <w:proofErr w:type="gramEnd"/>
    </w:p>
    <w:p w:rsidR="00E96235" w:rsidRDefault="00E96235" w:rsidP="00E96235">
      <w:pPr>
        <w:spacing w:after="0" w:line="240" w:lineRule="atLeast"/>
        <w:contextualSpacing/>
        <w:jc w:val="both"/>
        <w:rPr>
          <w:rFonts w:cstheme="minorHAnsi"/>
          <w:b/>
          <w:szCs w:val="24"/>
        </w:rPr>
      </w:pPr>
    </w:p>
    <w:p w:rsidR="00B178DF" w:rsidRDefault="00E96235" w:rsidP="00B178DF">
      <w:pPr>
        <w:spacing w:after="0" w:line="240" w:lineRule="atLeast"/>
        <w:ind w:firstLine="851"/>
        <w:contextualSpacing/>
        <w:jc w:val="both"/>
        <w:rPr>
          <w:rFonts w:cstheme="minorHAnsi"/>
          <w:b/>
          <w:szCs w:val="24"/>
        </w:rPr>
      </w:pPr>
      <w:r w:rsidRPr="00E96235">
        <w:rPr>
          <w:rFonts w:cstheme="minorHAnsi"/>
          <w:b/>
          <w:szCs w:val="24"/>
        </w:rPr>
        <w:t xml:space="preserve">C- </w:t>
      </w:r>
      <w:r w:rsidR="000B0756" w:rsidRPr="00E96235">
        <w:rPr>
          <w:rFonts w:cstheme="minorHAnsi"/>
          <w:b/>
          <w:szCs w:val="24"/>
        </w:rPr>
        <w:t>BÜTÇE DENGESİ</w:t>
      </w:r>
    </w:p>
    <w:p w:rsidR="00406D2D" w:rsidRDefault="00B178DF" w:rsidP="00406D2D">
      <w:pPr>
        <w:spacing w:after="0" w:line="240" w:lineRule="atLeast"/>
        <w:ind w:firstLine="851"/>
        <w:contextualSpacing/>
        <w:jc w:val="both"/>
        <w:rPr>
          <w:rFonts w:cstheme="minorHAnsi"/>
          <w:b/>
          <w:szCs w:val="24"/>
        </w:rPr>
      </w:pPr>
      <w:r w:rsidRPr="00B178DF">
        <w:rPr>
          <w:rFonts w:cstheme="minorHAnsi"/>
          <w:b/>
          <w:szCs w:val="24"/>
        </w:rPr>
        <w:t>9-</w:t>
      </w:r>
      <w:r w:rsidR="00E96235" w:rsidRPr="00DD326C">
        <w:rPr>
          <w:rFonts w:cstheme="minorHAnsi"/>
          <w:szCs w:val="24"/>
        </w:rPr>
        <w:t xml:space="preserve">2018 yılı </w:t>
      </w:r>
      <w:r w:rsidR="00A635EF">
        <w:rPr>
          <w:rFonts w:cstheme="minorHAnsi"/>
          <w:szCs w:val="24"/>
        </w:rPr>
        <w:t xml:space="preserve">bütçesi 570,7 milyon </w:t>
      </w:r>
      <w:r w:rsidR="00E96235" w:rsidRPr="00DD326C">
        <w:rPr>
          <w:rFonts w:cstheme="minorHAnsi"/>
          <w:szCs w:val="24"/>
        </w:rPr>
        <w:t>TL net borçlanma ile denkleştirilmiştir.</w:t>
      </w:r>
      <w:r w:rsidR="00A635EF">
        <w:rPr>
          <w:rFonts w:cstheme="minorHAnsi"/>
          <w:szCs w:val="24"/>
        </w:rPr>
        <w:t xml:space="preserve">  2017 yılı bütçesinin de 282,2 milyon </w:t>
      </w:r>
      <w:r w:rsidR="00E11AC8">
        <w:rPr>
          <w:rFonts w:cstheme="minorHAnsi"/>
          <w:szCs w:val="24"/>
        </w:rPr>
        <w:t xml:space="preserve">TL </w:t>
      </w:r>
      <w:r w:rsidR="00DD326C" w:rsidRPr="00DD326C">
        <w:rPr>
          <w:rFonts w:cstheme="minorHAnsi"/>
          <w:szCs w:val="24"/>
        </w:rPr>
        <w:t>açık verdiği, denkleştirmelerin net borçlanmalarla karşılandığı görülmektedir</w:t>
      </w:r>
      <w:r w:rsidR="00DD326C">
        <w:rPr>
          <w:rFonts w:cstheme="minorHAnsi"/>
          <w:b/>
          <w:szCs w:val="24"/>
        </w:rPr>
        <w:t>.</w:t>
      </w:r>
      <w:r w:rsidR="00EC308E">
        <w:rPr>
          <w:rFonts w:cstheme="minorHAnsi"/>
          <w:b/>
          <w:szCs w:val="24"/>
        </w:rPr>
        <w:t xml:space="preserve"> </w:t>
      </w:r>
    </w:p>
    <w:p w:rsidR="00406D2D" w:rsidRDefault="00EC308E" w:rsidP="00EC308E">
      <w:pPr>
        <w:spacing w:after="0" w:line="240" w:lineRule="atLeast"/>
        <w:contextualSpacing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</w:t>
      </w:r>
      <w:r w:rsidR="00406D2D">
        <w:rPr>
          <w:rFonts w:cstheme="minorHAnsi"/>
          <w:b/>
          <w:szCs w:val="24"/>
        </w:rPr>
        <w:t xml:space="preserve">                </w:t>
      </w:r>
      <w:r w:rsidR="00406D2D" w:rsidRPr="00406D2D">
        <w:rPr>
          <w:rFonts w:cstheme="minorHAnsi"/>
          <w:szCs w:val="24"/>
        </w:rPr>
        <w:t xml:space="preserve">2017 yılında gider bütçesinin % </w:t>
      </w:r>
      <w:r w:rsidR="00406D2D">
        <w:rPr>
          <w:rFonts w:cstheme="minorHAnsi"/>
          <w:szCs w:val="24"/>
        </w:rPr>
        <w:t xml:space="preserve">4,6’ </w:t>
      </w:r>
      <w:proofErr w:type="spellStart"/>
      <w:r w:rsidR="00406D2D">
        <w:rPr>
          <w:rFonts w:cstheme="minorHAnsi"/>
          <w:szCs w:val="24"/>
        </w:rPr>
        <w:t>sını</w:t>
      </w:r>
      <w:proofErr w:type="spellEnd"/>
      <w:r w:rsidR="00406D2D">
        <w:rPr>
          <w:rFonts w:cstheme="minorHAnsi"/>
          <w:szCs w:val="24"/>
        </w:rPr>
        <w:t xml:space="preserve"> oluşturan</w:t>
      </w:r>
      <w:r w:rsidR="00406D2D" w:rsidRPr="00406D2D">
        <w:rPr>
          <w:rFonts w:cstheme="minorHAnsi"/>
          <w:szCs w:val="24"/>
        </w:rPr>
        <w:t xml:space="preserve"> bütçe açığı, 2018 yılında</w:t>
      </w:r>
      <w:r w:rsidR="00406D2D">
        <w:rPr>
          <w:rFonts w:cstheme="minorHAnsi"/>
          <w:szCs w:val="24"/>
        </w:rPr>
        <w:t xml:space="preserve"> </w:t>
      </w:r>
      <w:r w:rsidR="00406D2D" w:rsidRPr="00406D2D">
        <w:rPr>
          <w:rFonts w:cstheme="minorHAnsi"/>
          <w:szCs w:val="24"/>
        </w:rPr>
        <w:t>daha da artarak  % 8,6 oranına ulaşmıştır</w:t>
      </w:r>
      <w:r w:rsidR="00406D2D">
        <w:rPr>
          <w:rFonts w:cstheme="minorHAnsi"/>
          <w:b/>
          <w:szCs w:val="24"/>
        </w:rPr>
        <w:t xml:space="preserve">. </w:t>
      </w:r>
    </w:p>
    <w:p w:rsidR="00DD326C" w:rsidRDefault="00DD326C" w:rsidP="00E96235">
      <w:pPr>
        <w:spacing w:after="0" w:line="240" w:lineRule="atLeast"/>
        <w:contextualSpacing/>
        <w:jc w:val="both"/>
        <w:rPr>
          <w:rFonts w:cstheme="minorHAnsi"/>
          <w:b/>
          <w:szCs w:val="24"/>
        </w:rPr>
      </w:pPr>
    </w:p>
    <w:p w:rsidR="00DD326C" w:rsidRDefault="00DD326C" w:rsidP="00DD326C">
      <w:pPr>
        <w:spacing w:after="0" w:line="240" w:lineRule="atLeast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D-</w:t>
      </w:r>
      <w:r w:rsidR="00B178DF" w:rsidRPr="00AB20DD">
        <w:rPr>
          <w:rFonts w:ascii="Times New Roman" w:hAnsi="Times New Roman" w:cs="Times New Roman"/>
          <w:b/>
          <w:szCs w:val="24"/>
        </w:rPr>
        <w:t>BELEDİYENİN ÖZET BİLANÇOSU VE AÇIKLAMALAR</w:t>
      </w:r>
    </w:p>
    <w:p w:rsidR="000B0756" w:rsidRDefault="000B0756" w:rsidP="00DD326C">
      <w:pPr>
        <w:spacing w:after="0" w:line="240" w:lineRule="atLeast"/>
        <w:contextualSpacing/>
        <w:rPr>
          <w:rFonts w:ascii="Times New Roman" w:hAnsi="Times New Roman" w:cs="Times New Roman"/>
          <w:b/>
          <w:szCs w:val="24"/>
        </w:rPr>
      </w:pPr>
    </w:p>
    <w:p w:rsidR="00DD326C" w:rsidRPr="00FA0FAE" w:rsidRDefault="000B0756" w:rsidP="000B0756">
      <w:pPr>
        <w:spacing w:after="0" w:line="240" w:lineRule="atLeast"/>
        <w:ind w:firstLine="851"/>
        <w:contextualSpacing/>
        <w:rPr>
          <w:rFonts w:ascii="Times New Roman" w:hAnsi="Times New Roman" w:cs="Times New Roman"/>
          <w:szCs w:val="24"/>
        </w:rPr>
      </w:pPr>
      <w:r w:rsidRPr="000B0756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-ABB</w:t>
      </w:r>
      <w:r w:rsidRPr="00785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</w:t>
      </w:r>
      <w:r w:rsidRPr="007851FB">
        <w:rPr>
          <w:rFonts w:ascii="Times New Roman" w:hAnsi="Times New Roman" w:cs="Times New Roman"/>
        </w:rPr>
        <w:t xml:space="preserve"> yılına ait b</w:t>
      </w:r>
      <w:r w:rsidR="0020385F">
        <w:rPr>
          <w:rFonts w:ascii="Times New Roman" w:hAnsi="Times New Roman" w:cs="Times New Roman"/>
        </w:rPr>
        <w:t>irleşik özet bilançosuna Tablo 5</w:t>
      </w:r>
      <w:r w:rsidRPr="007851FB">
        <w:rPr>
          <w:rFonts w:ascii="Times New Roman" w:hAnsi="Times New Roman" w:cs="Times New Roman"/>
        </w:rPr>
        <w:t>’de yer verilmiştir.</w:t>
      </w:r>
      <w:r w:rsidRPr="007851FB">
        <w:rPr>
          <w:rFonts w:ascii="Times New Roman" w:hAnsi="Times New Roman" w:cs="Times New Roman"/>
          <w:b/>
        </w:rPr>
        <w:t xml:space="preserve">         </w:t>
      </w:r>
    </w:p>
    <w:p w:rsidR="00DD326C" w:rsidRPr="00FA0FAE" w:rsidRDefault="000B0756" w:rsidP="00DD326C">
      <w:pPr>
        <w:tabs>
          <w:tab w:val="left" w:pos="708"/>
          <w:tab w:val="center" w:pos="4678"/>
        </w:tabs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</w:t>
      </w:r>
      <w:r w:rsidR="0020385F">
        <w:rPr>
          <w:rFonts w:ascii="Times New Roman" w:hAnsi="Times New Roman" w:cs="Times New Roman"/>
          <w:b/>
          <w:szCs w:val="24"/>
        </w:rPr>
        <w:t>Tablo 5</w:t>
      </w:r>
      <w:r w:rsidR="00DD326C" w:rsidRPr="00AB20DD">
        <w:rPr>
          <w:rFonts w:ascii="Times New Roman" w:hAnsi="Times New Roman" w:cs="Times New Roman"/>
          <w:b/>
          <w:szCs w:val="24"/>
        </w:rPr>
        <w:t xml:space="preserve">: </w:t>
      </w:r>
      <w:r w:rsidR="00DD326C">
        <w:rPr>
          <w:rFonts w:ascii="Times New Roman" w:hAnsi="Times New Roman" w:cs="Times New Roman"/>
          <w:b/>
          <w:szCs w:val="24"/>
        </w:rPr>
        <w:t xml:space="preserve"> Ankara Büyükşehir</w:t>
      </w:r>
      <w:r w:rsidR="00DD326C" w:rsidRPr="00AB20DD">
        <w:rPr>
          <w:rFonts w:ascii="Times New Roman" w:hAnsi="Times New Roman" w:cs="Times New Roman"/>
          <w:b/>
          <w:szCs w:val="24"/>
        </w:rPr>
        <w:t xml:space="preserve"> Belediyesinin</w:t>
      </w:r>
      <w:r w:rsidR="00DD326C">
        <w:rPr>
          <w:rFonts w:ascii="Times New Roman" w:hAnsi="Times New Roman" w:cs="Times New Roman"/>
          <w:b/>
          <w:szCs w:val="24"/>
        </w:rPr>
        <w:t xml:space="preserve"> 2018 </w:t>
      </w:r>
      <w:r w:rsidR="00DD326C" w:rsidRPr="00AB20DD">
        <w:rPr>
          <w:rFonts w:ascii="Times New Roman" w:hAnsi="Times New Roman" w:cs="Times New Roman"/>
          <w:b/>
          <w:szCs w:val="24"/>
        </w:rPr>
        <w:t xml:space="preserve">Yılı Özet Bilançosu </w:t>
      </w:r>
      <w:r w:rsidR="00DD326C" w:rsidRPr="00AB20DD">
        <w:rPr>
          <w:rFonts w:ascii="Times New Roman" w:hAnsi="Times New Roman" w:cs="Times New Roman"/>
        </w:rPr>
        <w:t>(Bin TL)</w:t>
      </w:r>
    </w:p>
    <w:tbl>
      <w:tblPr>
        <w:tblW w:w="10523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2431"/>
        <w:gridCol w:w="1134"/>
        <w:gridCol w:w="1134"/>
        <w:gridCol w:w="426"/>
        <w:gridCol w:w="2693"/>
        <w:gridCol w:w="1134"/>
        <w:gridCol w:w="1134"/>
      </w:tblGrid>
      <w:tr w:rsidR="00DD326C" w:rsidRPr="00AB20DD" w:rsidTr="00DD326C">
        <w:trPr>
          <w:trHeight w:val="480"/>
          <w:jc w:val="center"/>
        </w:trPr>
        <w:tc>
          <w:tcPr>
            <w:tcW w:w="2868" w:type="dxa"/>
            <w:gridSpan w:val="2"/>
            <w:tcBorders>
              <w:top w:val="nil"/>
              <w:left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     Aktif (varlıklar)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AB20DD">
              <w:rPr>
                <w:b/>
                <w:sz w:val="18"/>
                <w:szCs w:val="18"/>
              </w:rPr>
              <w:t xml:space="preserve">Pasif (kaynaklar)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</w:tr>
      <w:tr w:rsidR="00DD326C" w:rsidRPr="00AB20DD" w:rsidTr="00DD326C">
        <w:trPr>
          <w:trHeight w:val="88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b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b/>
                <w:bCs/>
                <w:color w:val="auto"/>
                <w:sz w:val="18"/>
                <w:szCs w:val="18"/>
              </w:rPr>
              <w:t xml:space="preserve">Dönen Varlıklar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2263A9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 w:rsidRPr="002263A9">
              <w:rPr>
                <w:b/>
                <w:color w:val="auto"/>
                <w:sz w:val="18"/>
                <w:szCs w:val="18"/>
              </w:rPr>
              <w:t>7</w:t>
            </w:r>
            <w:r>
              <w:rPr>
                <w:b/>
                <w:color w:val="auto"/>
                <w:sz w:val="18"/>
                <w:szCs w:val="18"/>
              </w:rPr>
              <w:t>.</w:t>
            </w:r>
            <w:r w:rsidRPr="002263A9">
              <w:rPr>
                <w:b/>
                <w:color w:val="auto"/>
                <w:sz w:val="18"/>
                <w:szCs w:val="18"/>
              </w:rPr>
              <w:t>403</w:t>
            </w:r>
            <w:r>
              <w:rPr>
                <w:b/>
                <w:color w:val="auto"/>
                <w:sz w:val="18"/>
                <w:szCs w:val="18"/>
              </w:rPr>
              <w:t>.</w:t>
            </w:r>
            <w:r w:rsidRPr="002263A9">
              <w:rPr>
                <w:b/>
                <w:color w:val="auto"/>
                <w:sz w:val="18"/>
                <w:szCs w:val="18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8.089.289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AB20DD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AB20DD">
              <w:rPr>
                <w:b/>
                <w:bCs/>
                <w:sz w:val="18"/>
                <w:szCs w:val="18"/>
              </w:rPr>
              <w:t xml:space="preserve">Kısa Vadeli Yabancı Kaynaklar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2263A9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b/>
                <w:sz w:val="18"/>
                <w:szCs w:val="18"/>
              </w:rPr>
            </w:pPr>
            <w:r w:rsidRPr="002263A9">
              <w:rPr>
                <w:rFonts w:ascii="CIDFont+F1" w:hAnsi="CIDFont+F1" w:cs="CIDFont+F1"/>
                <w:b/>
                <w:sz w:val="16"/>
                <w:szCs w:val="16"/>
              </w:rPr>
              <w:t>3.156.281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2263A9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rFonts w:ascii="CIDFont+F1" w:hAnsi="CIDFont+F1" w:cs="CIDFont+F1"/>
                <w:b/>
                <w:sz w:val="16"/>
                <w:szCs w:val="16"/>
              </w:rPr>
            </w:pPr>
            <w:r>
              <w:rPr>
                <w:rFonts w:ascii="CIDFont+F1" w:hAnsi="CIDFont+F1" w:cs="CIDFont+F1"/>
                <w:b/>
                <w:sz w:val="16"/>
                <w:szCs w:val="16"/>
              </w:rPr>
              <w:t>4.252.959</w:t>
            </w:r>
          </w:p>
        </w:tc>
      </w:tr>
      <w:tr w:rsidR="00DD326C" w:rsidRPr="002263A9" w:rsidTr="00DD326C">
        <w:trPr>
          <w:trHeight w:val="90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Hazır değerler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2263A9">
              <w:rPr>
                <w:color w:val="auto"/>
                <w:sz w:val="18"/>
                <w:szCs w:val="18"/>
              </w:rPr>
              <w:t>292</w:t>
            </w:r>
            <w:r>
              <w:rPr>
                <w:color w:val="auto"/>
                <w:sz w:val="18"/>
                <w:szCs w:val="18"/>
              </w:rPr>
              <w:t>.</w:t>
            </w:r>
            <w:r w:rsidRPr="002263A9">
              <w:rPr>
                <w:color w:val="auto"/>
                <w:sz w:val="18"/>
                <w:szCs w:val="18"/>
              </w:rPr>
              <w:t>740</w:t>
            </w:r>
            <w:r w:rsidRPr="00AB20D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BE30B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 w:rsidRPr="00BE30B3">
              <w:rPr>
                <w:sz w:val="18"/>
                <w:szCs w:val="18"/>
              </w:rPr>
              <w:t>268.377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AB20DD">
              <w:rPr>
                <w:b/>
                <w:sz w:val="18"/>
                <w:szCs w:val="18"/>
              </w:rPr>
              <w:t xml:space="preserve">30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AB20DD">
              <w:rPr>
                <w:sz w:val="18"/>
                <w:szCs w:val="18"/>
              </w:rPr>
              <w:t xml:space="preserve">Kısa vadeli iç mali borçlar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 w:rsidRPr="005F16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5F16FF">
              <w:rPr>
                <w:sz w:val="18"/>
                <w:szCs w:val="18"/>
              </w:rPr>
              <w:t>308</w:t>
            </w:r>
            <w:r>
              <w:rPr>
                <w:sz w:val="18"/>
                <w:szCs w:val="18"/>
              </w:rPr>
              <w:t>.</w:t>
            </w:r>
            <w:r w:rsidRPr="005F16FF">
              <w:rPr>
                <w:sz w:val="18"/>
                <w:szCs w:val="18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5F16FF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1.925.556</w:t>
            </w:r>
          </w:p>
        </w:tc>
      </w:tr>
      <w:tr w:rsidR="00DD326C" w:rsidRPr="00AB20DD" w:rsidTr="00DD326C">
        <w:trPr>
          <w:trHeight w:val="90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Menkul kıymet ve varlıklar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                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DA48B2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 w:rsidRPr="00DA48B2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AB20DD">
              <w:rPr>
                <w:b/>
                <w:sz w:val="18"/>
                <w:szCs w:val="18"/>
              </w:rPr>
              <w:t xml:space="preserve">31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AB20DD">
              <w:rPr>
                <w:sz w:val="18"/>
                <w:szCs w:val="18"/>
              </w:rPr>
              <w:t xml:space="preserve">Kısa vadeli dış mali borçlar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 w:rsidRPr="00AB20D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D326C" w:rsidRPr="00AB20DD" w:rsidTr="00DD326C">
        <w:trPr>
          <w:trHeight w:val="90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Faaliyet alacakları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2263A9">
              <w:rPr>
                <w:color w:val="auto"/>
                <w:sz w:val="18"/>
                <w:szCs w:val="18"/>
              </w:rPr>
              <w:t>646</w:t>
            </w:r>
            <w:r>
              <w:rPr>
                <w:color w:val="auto"/>
                <w:sz w:val="18"/>
                <w:szCs w:val="18"/>
              </w:rPr>
              <w:t>.</w:t>
            </w:r>
            <w:r w:rsidRPr="002263A9">
              <w:rPr>
                <w:color w:val="auto"/>
                <w:sz w:val="18"/>
                <w:szCs w:val="18"/>
              </w:rPr>
              <w:t>305</w:t>
            </w:r>
            <w:r w:rsidRPr="00AB20D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DA48B2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 w:rsidRPr="00DA48B2">
              <w:rPr>
                <w:sz w:val="18"/>
                <w:szCs w:val="18"/>
              </w:rPr>
              <w:t>688.698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AB20DD">
              <w:rPr>
                <w:b/>
                <w:sz w:val="18"/>
                <w:szCs w:val="18"/>
              </w:rPr>
              <w:t xml:space="preserve">32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AB20DD">
              <w:rPr>
                <w:sz w:val="18"/>
                <w:szCs w:val="18"/>
              </w:rPr>
              <w:t xml:space="preserve">Faaliyet borçları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 w:rsidRPr="005F16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5F16FF">
              <w:rPr>
                <w:sz w:val="18"/>
                <w:szCs w:val="18"/>
              </w:rPr>
              <w:t>370</w:t>
            </w:r>
            <w:r>
              <w:rPr>
                <w:sz w:val="18"/>
                <w:szCs w:val="18"/>
              </w:rPr>
              <w:t>.</w:t>
            </w:r>
            <w:r w:rsidRPr="005F16FF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5F16FF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1.567.090</w:t>
            </w:r>
          </w:p>
        </w:tc>
      </w:tr>
      <w:tr w:rsidR="00DD326C" w:rsidRPr="00AB20DD" w:rsidTr="00DD326C">
        <w:trPr>
          <w:trHeight w:val="90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Kurum alacakları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DD405E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.</w:t>
            </w:r>
            <w:r w:rsidRPr="00DD405E">
              <w:rPr>
                <w:color w:val="auto"/>
                <w:sz w:val="18"/>
                <w:szCs w:val="18"/>
              </w:rPr>
              <w:t>422</w:t>
            </w:r>
            <w:r>
              <w:rPr>
                <w:color w:val="auto"/>
                <w:sz w:val="18"/>
                <w:szCs w:val="18"/>
              </w:rPr>
              <w:t>.</w:t>
            </w:r>
            <w:r w:rsidRPr="00DD405E">
              <w:rPr>
                <w:color w:val="auto"/>
                <w:sz w:val="18"/>
                <w:szCs w:val="18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DA48B2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2.576.930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AB20DD">
              <w:rPr>
                <w:b/>
                <w:sz w:val="18"/>
                <w:szCs w:val="18"/>
              </w:rPr>
              <w:t xml:space="preserve">33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AB20DD">
              <w:rPr>
                <w:sz w:val="18"/>
                <w:szCs w:val="18"/>
              </w:rPr>
              <w:t xml:space="preserve">Emanet yabancı kaynaklar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 w:rsidRPr="005F16FF">
              <w:rPr>
                <w:sz w:val="18"/>
                <w:szCs w:val="18"/>
              </w:rPr>
              <w:t>274</w:t>
            </w:r>
            <w:r>
              <w:rPr>
                <w:sz w:val="18"/>
                <w:szCs w:val="18"/>
              </w:rPr>
              <w:t>.</w:t>
            </w:r>
            <w:r w:rsidRPr="005F16FF">
              <w:rPr>
                <w:sz w:val="18"/>
                <w:szCs w:val="18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5F16FF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531.761</w:t>
            </w:r>
          </w:p>
        </w:tc>
      </w:tr>
      <w:tr w:rsidR="00DD326C" w:rsidRPr="00AB20DD" w:rsidTr="00DD326C">
        <w:trPr>
          <w:trHeight w:val="90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Diğer alacaklar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DD405E">
              <w:rPr>
                <w:color w:val="auto"/>
                <w:sz w:val="18"/>
                <w:szCs w:val="18"/>
              </w:rPr>
              <w:t>30</w:t>
            </w:r>
            <w:r>
              <w:rPr>
                <w:color w:val="auto"/>
                <w:sz w:val="18"/>
                <w:szCs w:val="18"/>
              </w:rPr>
              <w:t>.</w:t>
            </w:r>
            <w:r w:rsidRPr="00DD405E">
              <w:rPr>
                <w:color w:val="auto"/>
                <w:sz w:val="18"/>
                <w:szCs w:val="18"/>
              </w:rPr>
              <w:t>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DA48B2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 w:rsidRPr="00DA48B2">
              <w:rPr>
                <w:sz w:val="18"/>
                <w:szCs w:val="18"/>
              </w:rPr>
              <w:t>45.311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AB20DD">
              <w:rPr>
                <w:b/>
                <w:sz w:val="18"/>
                <w:szCs w:val="18"/>
              </w:rPr>
              <w:t xml:space="preserve">34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AB20DD">
              <w:rPr>
                <w:sz w:val="18"/>
                <w:szCs w:val="18"/>
              </w:rPr>
              <w:t xml:space="preserve">Alınan avanslar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 w:rsidRPr="00AB20D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D326C" w:rsidRPr="00AB20DD" w:rsidTr="00DD326C">
        <w:trPr>
          <w:trHeight w:val="90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Stoklar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DD405E">
              <w:rPr>
                <w:color w:val="auto"/>
                <w:sz w:val="18"/>
                <w:szCs w:val="18"/>
              </w:rPr>
              <w:t>646</w:t>
            </w:r>
            <w:r>
              <w:rPr>
                <w:color w:val="auto"/>
                <w:sz w:val="18"/>
                <w:szCs w:val="18"/>
              </w:rPr>
              <w:t>.</w:t>
            </w:r>
            <w:r w:rsidRPr="00DD405E">
              <w:rPr>
                <w:color w:val="auto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DA48B2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 w:rsidRPr="00DA48B2">
              <w:rPr>
                <w:sz w:val="18"/>
                <w:szCs w:val="18"/>
              </w:rPr>
              <w:t>669.690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AB20DD">
              <w:rPr>
                <w:b/>
                <w:sz w:val="18"/>
                <w:szCs w:val="18"/>
              </w:rPr>
              <w:t xml:space="preserve">36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AB20DD">
              <w:rPr>
                <w:sz w:val="18"/>
                <w:szCs w:val="18"/>
              </w:rPr>
              <w:t xml:space="preserve">Ödenecek diğer yükümlülükler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5F16FF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44.605</w:t>
            </w:r>
            <w:r w:rsidRPr="005F1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63.470</w:t>
            </w:r>
          </w:p>
        </w:tc>
      </w:tr>
      <w:tr w:rsidR="00DD326C" w:rsidRPr="00AB20DD" w:rsidTr="00DD326C">
        <w:trPr>
          <w:trHeight w:val="90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Ön ödemeler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DD405E">
              <w:rPr>
                <w:color w:val="auto"/>
                <w:sz w:val="18"/>
                <w:szCs w:val="18"/>
              </w:rPr>
              <w:t>16</w:t>
            </w:r>
            <w:r>
              <w:rPr>
                <w:color w:val="auto"/>
                <w:sz w:val="18"/>
                <w:szCs w:val="18"/>
              </w:rPr>
              <w:t>.</w:t>
            </w:r>
            <w:r w:rsidRPr="00DD405E">
              <w:rPr>
                <w:color w:val="auto"/>
                <w:sz w:val="18"/>
                <w:szCs w:val="18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DA48B2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 w:rsidRPr="00DA48B2">
              <w:rPr>
                <w:sz w:val="18"/>
                <w:szCs w:val="18"/>
              </w:rPr>
              <w:t>11.063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AB20DD">
              <w:rPr>
                <w:b/>
                <w:sz w:val="18"/>
                <w:szCs w:val="18"/>
              </w:rPr>
              <w:t xml:space="preserve">37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AB20DD">
              <w:rPr>
                <w:sz w:val="18"/>
                <w:szCs w:val="18"/>
              </w:rPr>
              <w:t xml:space="preserve">Borç ve gider karşılıkları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3.884</w:t>
            </w:r>
          </w:p>
        </w:tc>
      </w:tr>
      <w:tr w:rsidR="00DD326C" w:rsidRPr="00AB20DD" w:rsidTr="00DD326C">
        <w:trPr>
          <w:trHeight w:val="210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Gelecek aylara ait giderler ve gelir tahakkukları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                  0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DA48B2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DA48B2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Gelecek aylara ait gelirler ve gider tahakkukları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148.263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154.423</w:t>
            </w:r>
          </w:p>
        </w:tc>
      </w:tr>
      <w:tr w:rsidR="00DD326C" w:rsidRPr="00AB20DD" w:rsidTr="00DD326C">
        <w:trPr>
          <w:trHeight w:val="210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Diğer dönen varlıklar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3.349.499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DA48B2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DA48B2">
              <w:rPr>
                <w:color w:val="auto"/>
                <w:sz w:val="18"/>
                <w:szCs w:val="18"/>
              </w:rPr>
              <w:t>3.829.217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Diğer kısa vadeli yabancı kaynaklar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6.771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6.771</w:t>
            </w:r>
          </w:p>
        </w:tc>
      </w:tr>
      <w:tr w:rsidR="00DD326C" w:rsidRPr="00A547B2" w:rsidTr="00DD326C">
        <w:trPr>
          <w:trHeight w:val="92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b/>
                <w:bCs/>
                <w:color w:val="auto"/>
                <w:sz w:val="18"/>
                <w:szCs w:val="18"/>
              </w:rPr>
              <w:t xml:space="preserve">Duran Varlıklar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25.312.212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26.615.204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b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b/>
                <w:bCs/>
                <w:color w:val="auto"/>
                <w:sz w:val="18"/>
                <w:szCs w:val="18"/>
              </w:rPr>
              <w:t xml:space="preserve">Uzun Vadeli Yabancı Kaynaklar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>2.187.514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1.663.131</w:t>
            </w:r>
          </w:p>
        </w:tc>
      </w:tr>
      <w:tr w:rsidR="00DD326C" w:rsidRPr="00AB20DD" w:rsidTr="00DD326C">
        <w:trPr>
          <w:trHeight w:val="90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Menkul kıymet ve varlıklar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2D6CE0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2D6CE0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Uzun vadeli iç mali borçlar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1.640.788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1.257.803</w:t>
            </w:r>
          </w:p>
        </w:tc>
      </w:tr>
      <w:tr w:rsidR="00DD326C" w:rsidRPr="00AB20DD" w:rsidTr="00DD326C">
        <w:trPr>
          <w:trHeight w:val="90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Faaliyet alacakları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2.475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2D6CE0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2D6CE0">
              <w:rPr>
                <w:color w:val="auto"/>
                <w:sz w:val="18"/>
                <w:szCs w:val="18"/>
              </w:rPr>
              <w:t>157.635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Uzun vadeli dış mali borçlar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DD326C" w:rsidRPr="00AB20DD" w:rsidTr="00DD326C">
        <w:trPr>
          <w:trHeight w:val="90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Kurum alacakları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2D6CE0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2D6CE0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Diğer borçlar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DD326C" w:rsidRPr="00AB20DD" w:rsidTr="00DD326C">
        <w:trPr>
          <w:trHeight w:val="90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Mali duran varlıklar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931.910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2D6CE0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2D6CE0">
              <w:rPr>
                <w:color w:val="auto"/>
                <w:sz w:val="18"/>
                <w:szCs w:val="18"/>
              </w:rPr>
              <w:t>1.111.207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Alınan avanslar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DD326C" w:rsidRPr="00AB20DD" w:rsidTr="00DD326C">
        <w:trPr>
          <w:trHeight w:val="90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Maddi duran varlıklar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23.904.643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2D6CE0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2D6CE0">
              <w:rPr>
                <w:color w:val="auto"/>
                <w:sz w:val="18"/>
                <w:szCs w:val="18"/>
              </w:rPr>
              <w:t>24.956.000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Borç ve gider karşılıkları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43.920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59.351</w:t>
            </w:r>
          </w:p>
        </w:tc>
      </w:tr>
      <w:tr w:rsidR="00DD326C" w:rsidRPr="00AB20DD" w:rsidTr="00DD326C">
        <w:trPr>
          <w:trHeight w:val="211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Maddi olmayan duran varlıklar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2D6CE0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2D6CE0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Gelecek yıllara ait gelirler ve gider tahakkukları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484.720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330.296</w:t>
            </w:r>
          </w:p>
        </w:tc>
      </w:tr>
      <w:tr w:rsidR="00DD326C" w:rsidRPr="00AB20DD" w:rsidTr="00DD326C">
        <w:trPr>
          <w:trHeight w:val="211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Gelecek yıllara ait giderler ve gelir tahakkukları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2D6CE0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2D6CE0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EB79E3">
              <w:rPr>
                <w:b/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 xml:space="preserve">Diğer uzun vadeli yabancı kaynaklar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EB79E3">
              <w:rPr>
                <w:color w:val="auto"/>
                <w:sz w:val="18"/>
                <w:szCs w:val="18"/>
              </w:rPr>
              <w:t>18.085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EB79E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15.679</w:t>
            </w:r>
          </w:p>
        </w:tc>
      </w:tr>
      <w:tr w:rsidR="00DD326C" w:rsidRPr="00AB20DD" w:rsidTr="00DD326C">
        <w:trPr>
          <w:trHeight w:val="321"/>
          <w:jc w:val="center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Diğer duran varlıklar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21077D">
              <w:rPr>
                <w:color w:val="auto"/>
                <w:sz w:val="18"/>
                <w:szCs w:val="18"/>
              </w:rPr>
              <w:t>473</w:t>
            </w:r>
            <w:r>
              <w:rPr>
                <w:color w:val="auto"/>
                <w:sz w:val="18"/>
                <w:szCs w:val="18"/>
              </w:rPr>
              <w:t>.</w:t>
            </w:r>
            <w:r w:rsidRPr="0021077D">
              <w:rPr>
                <w:color w:val="auto"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390.360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b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b/>
                <w:bCs/>
                <w:color w:val="auto"/>
                <w:sz w:val="18"/>
                <w:szCs w:val="18"/>
              </w:rPr>
              <w:t>Öz Kaynaklar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        </w:t>
            </w:r>
            <w:r w:rsidRPr="00D418B1">
              <w:rPr>
                <w:b/>
                <w:bCs/>
                <w:color w:val="auto"/>
                <w:sz w:val="18"/>
                <w:szCs w:val="18"/>
              </w:rPr>
              <w:t>27.372.321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28.788.402</w:t>
            </w:r>
          </w:p>
        </w:tc>
      </w:tr>
      <w:tr w:rsidR="00DD326C" w:rsidRPr="00AB20DD" w:rsidTr="00DD326C">
        <w:trPr>
          <w:trHeight w:val="92"/>
          <w:jc w:val="center"/>
        </w:trPr>
        <w:tc>
          <w:tcPr>
            <w:tcW w:w="40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i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Net değer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D713F3">
              <w:rPr>
                <w:color w:val="auto"/>
                <w:sz w:val="18"/>
                <w:szCs w:val="18"/>
              </w:rPr>
              <w:t>22</w:t>
            </w:r>
            <w:r>
              <w:rPr>
                <w:color w:val="auto"/>
                <w:sz w:val="18"/>
                <w:szCs w:val="18"/>
              </w:rPr>
              <w:t>.</w:t>
            </w:r>
            <w:r w:rsidRPr="00D713F3">
              <w:rPr>
                <w:color w:val="auto"/>
                <w:sz w:val="18"/>
                <w:szCs w:val="18"/>
              </w:rPr>
              <w:t>774</w:t>
            </w:r>
            <w:r>
              <w:rPr>
                <w:color w:val="auto"/>
                <w:sz w:val="18"/>
                <w:szCs w:val="18"/>
              </w:rPr>
              <w:t>.</w:t>
            </w:r>
            <w:r w:rsidRPr="00D713F3">
              <w:rPr>
                <w:color w:val="auto"/>
                <w:sz w:val="18"/>
                <w:szCs w:val="18"/>
              </w:rPr>
              <w:t>298</w:t>
            </w:r>
            <w:r w:rsidRPr="00AB20D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D713F3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23.769.178</w:t>
            </w:r>
          </w:p>
        </w:tc>
      </w:tr>
      <w:tr w:rsidR="00DD326C" w:rsidRPr="00AB20DD" w:rsidTr="00DD326C">
        <w:trPr>
          <w:trHeight w:val="92"/>
          <w:jc w:val="center"/>
        </w:trPr>
        <w:tc>
          <w:tcPr>
            <w:tcW w:w="40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26C" w:rsidRPr="00AB20DD" w:rsidRDefault="00DD326C" w:rsidP="00DD326C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52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Yeniden değerleme farkları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DD326C" w:rsidRPr="00AB20DD" w:rsidTr="00DD326C">
        <w:trPr>
          <w:trHeight w:val="92"/>
          <w:jc w:val="center"/>
        </w:trPr>
        <w:tc>
          <w:tcPr>
            <w:tcW w:w="40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26C" w:rsidRPr="00AB20DD" w:rsidRDefault="00DD326C" w:rsidP="00DD326C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57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>Geçmiş yıllar olumlu faaliyet sonuçları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        </w:t>
            </w:r>
            <w:r w:rsidRPr="00D713F3"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</w:rPr>
              <w:t>.</w:t>
            </w:r>
            <w:r w:rsidRPr="00D713F3">
              <w:rPr>
                <w:color w:val="auto"/>
                <w:sz w:val="18"/>
                <w:szCs w:val="18"/>
              </w:rPr>
              <w:t>693</w:t>
            </w:r>
            <w:r>
              <w:rPr>
                <w:color w:val="auto"/>
                <w:sz w:val="18"/>
                <w:szCs w:val="18"/>
              </w:rPr>
              <w:t>.</w:t>
            </w:r>
            <w:r w:rsidRPr="00D713F3">
              <w:rPr>
                <w:color w:val="auto"/>
                <w:sz w:val="18"/>
                <w:szCs w:val="18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3.650.600</w:t>
            </w:r>
          </w:p>
        </w:tc>
      </w:tr>
      <w:tr w:rsidR="00DD326C" w:rsidRPr="00AB20DD" w:rsidTr="00DD326C">
        <w:trPr>
          <w:trHeight w:val="92"/>
          <w:jc w:val="center"/>
        </w:trPr>
        <w:tc>
          <w:tcPr>
            <w:tcW w:w="40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26C" w:rsidRPr="00AB20DD" w:rsidRDefault="00DD326C" w:rsidP="00DD326C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58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Geçmiş yıllar olumsuz faaliyet </w:t>
            </w:r>
            <w:r w:rsidRPr="00AB20DD">
              <w:rPr>
                <w:color w:val="auto"/>
                <w:sz w:val="18"/>
                <w:szCs w:val="18"/>
              </w:rPr>
              <w:t>sonuçları</w:t>
            </w:r>
            <w:r w:rsidRPr="00AB20D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      </w:t>
            </w:r>
          </w:p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-</w:t>
            </w:r>
            <w:r w:rsidRPr="00B355CF">
              <w:rPr>
                <w:color w:val="auto"/>
                <w:sz w:val="18"/>
                <w:szCs w:val="18"/>
              </w:rPr>
              <w:t>100.518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-100.518</w:t>
            </w:r>
          </w:p>
        </w:tc>
      </w:tr>
      <w:tr w:rsidR="00DD326C" w:rsidRPr="00AB20DD" w:rsidTr="00DD326C">
        <w:trPr>
          <w:trHeight w:val="92"/>
          <w:jc w:val="center"/>
        </w:trPr>
        <w:tc>
          <w:tcPr>
            <w:tcW w:w="40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326C" w:rsidRPr="00AB20DD" w:rsidRDefault="00DD326C" w:rsidP="00DD326C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59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Dönem faaliyet sonuçları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AB20DD">
              <w:rPr>
                <w:color w:val="auto"/>
                <w:sz w:val="18"/>
                <w:szCs w:val="18"/>
              </w:rPr>
              <w:t xml:space="preserve">         </w:t>
            </w:r>
            <w:r>
              <w:rPr>
                <w:color w:val="auto"/>
                <w:sz w:val="18"/>
                <w:szCs w:val="18"/>
              </w:rPr>
              <w:t>1.004.695</w:t>
            </w:r>
            <w:r w:rsidRPr="00AB20D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</w:p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1.469.142</w:t>
            </w:r>
          </w:p>
        </w:tc>
      </w:tr>
      <w:tr w:rsidR="00DD326C" w:rsidRPr="00AB20DD" w:rsidTr="00DD326C">
        <w:trPr>
          <w:trHeight w:val="316"/>
          <w:jc w:val="center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>AKTİF TOPLAMI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32.716.117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34.704.493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 w:rsidRPr="00AB20DD">
              <w:rPr>
                <w:b/>
                <w:color w:val="auto"/>
                <w:sz w:val="18"/>
                <w:szCs w:val="18"/>
              </w:rPr>
              <w:t xml:space="preserve">       PASSİF TOPLAMI           </w:t>
            </w:r>
            <w:r>
              <w:rPr>
                <w:b/>
                <w:color w:val="auto"/>
                <w:sz w:val="18"/>
                <w:szCs w:val="18"/>
              </w:rPr>
              <w:t xml:space="preserve">                    </w:t>
            </w:r>
            <w:r w:rsidRPr="00AB20DD"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 xml:space="preserve"> 32.716.117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26C" w:rsidRPr="00AB20DD" w:rsidRDefault="00DD326C" w:rsidP="00DD326C">
            <w:pPr>
              <w:pStyle w:val="Default"/>
              <w:spacing w:line="240" w:lineRule="atLeast"/>
              <w:contextualSpacing/>
              <w:jc w:val="both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34.704.493</w:t>
            </w:r>
          </w:p>
        </w:tc>
      </w:tr>
    </w:tbl>
    <w:p w:rsidR="00DD326C" w:rsidRDefault="00DD326C" w:rsidP="00DD326C">
      <w:pPr>
        <w:pStyle w:val="SonnotMetni"/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331B0">
        <w:rPr>
          <w:rFonts w:ascii="Times New Roman" w:hAnsi="Times New Roman" w:cs="Times New Roman"/>
          <w:b/>
          <w:sz w:val="18"/>
          <w:szCs w:val="18"/>
        </w:rPr>
        <w:t>Not:</w:t>
      </w:r>
      <w:r>
        <w:rPr>
          <w:rFonts w:ascii="Times New Roman" w:hAnsi="Times New Roman" w:cs="Times New Roman"/>
          <w:sz w:val="18"/>
          <w:szCs w:val="18"/>
        </w:rPr>
        <w:t xml:space="preserve"> Küsuratlar yuvarlatılmıştır.</w:t>
      </w:r>
    </w:p>
    <w:p w:rsidR="00F201D4" w:rsidRDefault="00DD326C" w:rsidP="00DD326C">
      <w:pPr>
        <w:pStyle w:val="SonnotMetni"/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331B0">
        <w:rPr>
          <w:rFonts w:ascii="Times New Roman" w:hAnsi="Times New Roman" w:cs="Times New Roman"/>
          <w:b/>
          <w:sz w:val="18"/>
          <w:szCs w:val="18"/>
        </w:rPr>
        <w:t>Kaynak:</w:t>
      </w:r>
      <w:r w:rsidRPr="007851FB">
        <w:rPr>
          <w:rFonts w:ascii="Times New Roman" w:hAnsi="Times New Roman" w:cs="Times New Roman"/>
          <w:sz w:val="18"/>
          <w:szCs w:val="18"/>
        </w:rPr>
        <w:t xml:space="preserve"> T.C. Sayıştay Başkanlığı  (2018); “Ankara Büyükşehir Belediyesi 2017 Yılı Sayıştay Denetim </w:t>
      </w:r>
      <w:r w:rsidR="00F201D4">
        <w:rPr>
          <w:rFonts w:ascii="Times New Roman" w:hAnsi="Times New Roman" w:cs="Times New Roman"/>
          <w:sz w:val="18"/>
          <w:szCs w:val="18"/>
        </w:rPr>
        <w:t>Raporu</w:t>
      </w:r>
      <w:proofErr w:type="gramStart"/>
      <w:r w:rsidR="00F201D4">
        <w:rPr>
          <w:rFonts w:ascii="Times New Roman" w:hAnsi="Times New Roman" w:cs="Times New Roman"/>
          <w:sz w:val="18"/>
          <w:szCs w:val="18"/>
        </w:rPr>
        <w:t>,;</w:t>
      </w:r>
      <w:proofErr w:type="gramEnd"/>
    </w:p>
    <w:p w:rsidR="00F201D4" w:rsidRDefault="00F201D4" w:rsidP="00F201D4">
      <w:pPr>
        <w:pStyle w:val="SonnotMetni"/>
        <w:spacing w:line="240" w:lineRule="atLeast"/>
        <w:contextualSpacing/>
        <w:jc w:val="both"/>
        <w:rPr>
          <w:rStyle w:val="Kpr"/>
        </w:rPr>
      </w:pPr>
      <w:r w:rsidRPr="00F201D4">
        <w:rPr>
          <w:rFonts w:ascii="Times New Roman" w:hAnsi="Times New Roman" w:cs="Times New Roman"/>
          <w:sz w:val="18"/>
          <w:szCs w:val="18"/>
        </w:rPr>
        <w:t>Ankara Büyükşehir Belediyesi 2018 Yılı Kesin Hesap Cetveller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hyperlink r:id="rId7" w:history="1">
        <w:r w:rsidR="00DD326C" w:rsidRPr="007851FB">
          <w:rPr>
            <w:rStyle w:val="Kpr"/>
          </w:rPr>
          <w:t>https://www.sayistay.gov.tr/tr/?p=2&amp;ContentID=12364</w:t>
        </w:r>
      </w:hyperlink>
      <w:r>
        <w:rPr>
          <w:rStyle w:val="Kpr"/>
        </w:rPr>
        <w:t xml:space="preserve">  </w:t>
      </w:r>
    </w:p>
    <w:p w:rsidR="00DD326C" w:rsidRDefault="00DD326C" w:rsidP="00DD326C">
      <w:pPr>
        <w:pStyle w:val="SonnotMetni"/>
        <w:spacing w:line="240" w:lineRule="atLeast"/>
        <w:contextualSpacing/>
        <w:jc w:val="both"/>
        <w:rPr>
          <w:rStyle w:val="Kpr"/>
          <w:rFonts w:ascii="Times New Roman" w:hAnsi="Times New Roman" w:cs="Times New Roman"/>
          <w:sz w:val="18"/>
          <w:szCs w:val="18"/>
        </w:rPr>
      </w:pPr>
    </w:p>
    <w:p w:rsidR="00C642DD" w:rsidRDefault="000B0756" w:rsidP="000B0756">
      <w:pPr>
        <w:pStyle w:val="SonnotMetni"/>
        <w:spacing w:line="240" w:lineRule="atLeast"/>
        <w:ind w:firstLine="851"/>
        <w:contextualSpacing/>
        <w:jc w:val="both"/>
        <w:rPr>
          <w:rStyle w:val="Kpr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0B0756">
        <w:rPr>
          <w:rStyle w:val="Kpr"/>
          <w:rFonts w:asciiTheme="minorHAnsi" w:hAnsiTheme="minorHAnsi" w:cstheme="minorHAnsi"/>
          <w:b/>
          <w:color w:val="auto"/>
          <w:sz w:val="24"/>
          <w:szCs w:val="24"/>
          <w:u w:val="none"/>
        </w:rPr>
        <w:lastRenderedPageBreak/>
        <w:t>11</w:t>
      </w:r>
      <w:r w:rsidRPr="000B0756">
        <w:rPr>
          <w:rStyle w:val="Kpr"/>
          <w:rFonts w:asciiTheme="minorHAnsi" w:hAnsiTheme="minorHAnsi" w:cstheme="minorHAnsi"/>
          <w:color w:val="auto"/>
          <w:sz w:val="24"/>
          <w:szCs w:val="24"/>
          <w:u w:val="none"/>
        </w:rPr>
        <w:t>-</w:t>
      </w:r>
      <w:r w:rsidR="00DD326C" w:rsidRPr="000B0756">
        <w:rPr>
          <w:rStyle w:val="Kpr"/>
          <w:rFonts w:asciiTheme="minorHAnsi" w:hAnsiTheme="minorHAnsi" w:cstheme="minorHAnsi"/>
          <w:color w:val="auto"/>
          <w:sz w:val="24"/>
          <w:szCs w:val="24"/>
          <w:u w:val="none"/>
        </w:rPr>
        <w:t>Bilanço hakkında özet açıklamalar aşağıda belirtilmiştir.</w:t>
      </w:r>
    </w:p>
    <w:p w:rsidR="000B0756" w:rsidRPr="000B0756" w:rsidRDefault="000B0756" w:rsidP="000B0756">
      <w:pPr>
        <w:pStyle w:val="SonnotMetni"/>
        <w:spacing w:line="240" w:lineRule="atLeast"/>
        <w:ind w:firstLine="851"/>
        <w:contextualSpacing/>
        <w:jc w:val="both"/>
        <w:rPr>
          <w:rStyle w:val="Kpr"/>
          <w:rFonts w:asciiTheme="minorHAnsi" w:hAnsiTheme="minorHAnsi" w:cstheme="minorHAnsi"/>
          <w:color w:val="auto"/>
          <w:sz w:val="24"/>
          <w:szCs w:val="24"/>
          <w:u w:val="none"/>
        </w:rPr>
      </w:pPr>
    </w:p>
    <w:p w:rsidR="00DD326C" w:rsidRPr="000B0756" w:rsidRDefault="00DD326C" w:rsidP="00DD326C">
      <w:pPr>
        <w:pStyle w:val="SonnotMetni"/>
        <w:spacing w:line="240" w:lineRule="atLeast"/>
        <w:ind w:firstLine="851"/>
        <w:contextualSpacing/>
        <w:jc w:val="both"/>
        <w:rPr>
          <w:rStyle w:val="Kpr"/>
          <w:rFonts w:asciiTheme="minorHAnsi" w:hAnsiTheme="minorHAnsi" w:cstheme="minorHAnsi"/>
          <w:b/>
          <w:sz w:val="24"/>
          <w:szCs w:val="24"/>
        </w:rPr>
      </w:pPr>
      <w:r w:rsidRPr="000B0756">
        <w:rPr>
          <w:rStyle w:val="Kpr"/>
          <w:rFonts w:asciiTheme="minorHAnsi" w:hAnsiTheme="minorHAnsi" w:cstheme="minorHAnsi"/>
          <w:b/>
          <w:sz w:val="24"/>
          <w:szCs w:val="24"/>
        </w:rPr>
        <w:t>Varlıklar</w:t>
      </w:r>
    </w:p>
    <w:p w:rsidR="00DD326C" w:rsidRPr="000B0756" w:rsidRDefault="000B0756" w:rsidP="00DD326C">
      <w:pPr>
        <w:pStyle w:val="SonnotMetni"/>
        <w:spacing w:line="240" w:lineRule="atLeast"/>
        <w:ind w:firstLine="851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B0756">
        <w:rPr>
          <w:rFonts w:asciiTheme="minorHAnsi" w:hAnsiTheme="minorHAnsi" w:cstheme="minorHAnsi"/>
          <w:b/>
          <w:sz w:val="24"/>
          <w:szCs w:val="24"/>
        </w:rPr>
        <w:t>12</w:t>
      </w:r>
      <w:r w:rsidRPr="000B0756">
        <w:rPr>
          <w:rFonts w:asciiTheme="minorHAnsi" w:hAnsiTheme="minorHAnsi" w:cstheme="minorHAnsi"/>
          <w:sz w:val="24"/>
          <w:szCs w:val="24"/>
        </w:rPr>
        <w:t>-</w:t>
      </w:r>
      <w:r w:rsidR="00DD326C" w:rsidRPr="000B0756">
        <w:rPr>
          <w:rFonts w:asciiTheme="minorHAnsi" w:hAnsiTheme="minorHAnsi" w:cstheme="minorHAnsi"/>
          <w:sz w:val="24"/>
          <w:szCs w:val="24"/>
        </w:rPr>
        <w:t xml:space="preserve">Belediyenin dönen varlıklar toplamı 8,089 milyar TL </w:t>
      </w:r>
      <w:proofErr w:type="spellStart"/>
      <w:r w:rsidR="00DD326C" w:rsidRPr="000B0756">
        <w:rPr>
          <w:rFonts w:asciiTheme="minorHAnsi" w:hAnsiTheme="minorHAnsi" w:cstheme="minorHAnsi"/>
          <w:sz w:val="24"/>
          <w:szCs w:val="24"/>
        </w:rPr>
        <w:t>dir</w:t>
      </w:r>
      <w:proofErr w:type="spellEnd"/>
      <w:r w:rsidR="00DD326C" w:rsidRPr="000B0756">
        <w:rPr>
          <w:rFonts w:asciiTheme="minorHAnsi" w:hAnsiTheme="minorHAnsi" w:cstheme="minorHAnsi"/>
          <w:sz w:val="24"/>
          <w:szCs w:val="24"/>
        </w:rPr>
        <w:t xml:space="preserve">. Hazır değerler 268,3 milyon TL </w:t>
      </w:r>
      <w:proofErr w:type="spellStart"/>
      <w:r w:rsidR="00DD326C" w:rsidRPr="000B0756">
        <w:rPr>
          <w:rFonts w:asciiTheme="minorHAnsi" w:hAnsiTheme="minorHAnsi" w:cstheme="minorHAnsi"/>
          <w:sz w:val="24"/>
          <w:szCs w:val="24"/>
        </w:rPr>
        <w:t>dir</w:t>
      </w:r>
      <w:proofErr w:type="spellEnd"/>
      <w:r w:rsidR="00DD326C" w:rsidRPr="000B0756">
        <w:rPr>
          <w:rFonts w:asciiTheme="minorHAnsi" w:hAnsiTheme="minorHAnsi" w:cstheme="minorHAnsi"/>
          <w:sz w:val="24"/>
          <w:szCs w:val="24"/>
        </w:rPr>
        <w:t xml:space="preserve">. 688 milyon TL faaliyet alacaklarının 650,6 milyon TL si takipli alacaklardır. </w:t>
      </w:r>
    </w:p>
    <w:p w:rsidR="00DD326C" w:rsidRPr="000B0756" w:rsidRDefault="00DD326C" w:rsidP="00DD326C">
      <w:pPr>
        <w:pStyle w:val="SonnotMetni"/>
        <w:spacing w:line="240" w:lineRule="atLeast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B0756">
        <w:rPr>
          <w:rFonts w:asciiTheme="minorHAnsi" w:hAnsiTheme="minorHAnsi" w:cstheme="minorHAnsi"/>
          <w:sz w:val="24"/>
          <w:szCs w:val="24"/>
          <w:u w:val="single"/>
        </w:rPr>
        <w:t>2,576 milyar TL kurumca verilmiş borçlardan alacak vardır.</w:t>
      </w:r>
    </w:p>
    <w:p w:rsidR="00DD326C" w:rsidRPr="000B0756" w:rsidRDefault="00DD326C" w:rsidP="00DD326C">
      <w:pPr>
        <w:pStyle w:val="SonnotMetni"/>
        <w:spacing w:line="240" w:lineRule="atLeast"/>
        <w:ind w:firstLine="851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B0756">
        <w:rPr>
          <w:rFonts w:asciiTheme="minorHAnsi" w:hAnsiTheme="minorHAnsi" w:cstheme="minorHAnsi"/>
          <w:sz w:val="24"/>
          <w:szCs w:val="24"/>
        </w:rPr>
        <w:t>45,3milyon TL kişilerden tahsili gereken alacak bulunmaktadır.</w:t>
      </w:r>
    </w:p>
    <w:p w:rsidR="00DD326C" w:rsidRPr="000B0756" w:rsidRDefault="00DD326C" w:rsidP="00DD326C">
      <w:pPr>
        <w:pStyle w:val="SonnotMetni"/>
        <w:spacing w:line="240" w:lineRule="atLeast"/>
        <w:ind w:firstLine="851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B0756">
        <w:rPr>
          <w:rFonts w:asciiTheme="minorHAnsi" w:hAnsiTheme="minorHAnsi" w:cstheme="minorHAnsi"/>
          <w:b/>
          <w:sz w:val="24"/>
          <w:szCs w:val="24"/>
        </w:rPr>
        <w:t xml:space="preserve">Bu dönemde indirilemediği için her yıl artarak devreden ( dönen varlıkların % 47, yıl bütçesinin %63’ ü büyüklüğünde ) diğer dönen varlıklardan 3,829 milyar TL </w:t>
      </w:r>
      <w:proofErr w:type="spellStart"/>
      <w:r w:rsidRPr="000B0756">
        <w:rPr>
          <w:rFonts w:asciiTheme="minorHAnsi" w:hAnsiTheme="minorHAnsi" w:cstheme="minorHAnsi"/>
          <w:b/>
          <w:sz w:val="24"/>
          <w:szCs w:val="24"/>
        </w:rPr>
        <w:t>sı</w:t>
      </w:r>
      <w:proofErr w:type="spellEnd"/>
      <w:r w:rsidRPr="000B0756">
        <w:rPr>
          <w:rFonts w:asciiTheme="minorHAnsi" w:hAnsiTheme="minorHAnsi" w:cstheme="minorHAnsi"/>
          <w:b/>
          <w:sz w:val="24"/>
          <w:szCs w:val="24"/>
        </w:rPr>
        <w:t xml:space="preserve"> tutarındaki (Sayıştay Denetim Raporlarındaki tespitler arasında da yer alan )  (şüpheli) KDV alacağı dikkat çekmektedir. Bu durum bilançoda gerçek durumun tam ol</w:t>
      </w:r>
      <w:r w:rsidR="00C642DD" w:rsidRPr="000B0756">
        <w:rPr>
          <w:rFonts w:asciiTheme="minorHAnsi" w:hAnsiTheme="minorHAnsi" w:cstheme="minorHAnsi"/>
          <w:b/>
          <w:sz w:val="24"/>
          <w:szCs w:val="24"/>
        </w:rPr>
        <w:t>arak görünmesini gölgelemektedir</w:t>
      </w:r>
      <w:r w:rsidRPr="000B0756">
        <w:rPr>
          <w:rFonts w:asciiTheme="minorHAnsi" w:hAnsiTheme="minorHAnsi" w:cstheme="minorHAnsi"/>
          <w:b/>
          <w:sz w:val="24"/>
          <w:szCs w:val="24"/>
        </w:rPr>
        <w:t>.</w:t>
      </w:r>
    </w:p>
    <w:p w:rsidR="000B0756" w:rsidRDefault="00DD326C" w:rsidP="000B0756">
      <w:pPr>
        <w:pStyle w:val="SonnotMetni"/>
        <w:spacing w:line="240" w:lineRule="atLeast"/>
        <w:ind w:firstLine="851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B0756">
        <w:rPr>
          <w:rFonts w:asciiTheme="minorHAnsi" w:hAnsiTheme="minorHAnsi" w:cstheme="minorHAnsi"/>
          <w:b/>
          <w:sz w:val="24"/>
          <w:szCs w:val="24"/>
        </w:rPr>
        <w:t xml:space="preserve">Belediyenin maddi duran varlıkları toplamı 24,9 milyar TL </w:t>
      </w:r>
      <w:proofErr w:type="spellStart"/>
      <w:r w:rsidRPr="000B0756">
        <w:rPr>
          <w:rFonts w:asciiTheme="minorHAnsi" w:hAnsiTheme="minorHAnsi" w:cstheme="minorHAnsi"/>
          <w:b/>
          <w:sz w:val="24"/>
          <w:szCs w:val="24"/>
        </w:rPr>
        <w:t>dir</w:t>
      </w:r>
      <w:proofErr w:type="spellEnd"/>
      <w:r w:rsidRPr="000B0756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DD326C" w:rsidRDefault="00DD326C" w:rsidP="000B0756">
      <w:pPr>
        <w:pStyle w:val="SonnotMetni"/>
        <w:spacing w:line="240" w:lineRule="atLeast"/>
        <w:ind w:firstLine="851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0B0756">
        <w:rPr>
          <w:rFonts w:asciiTheme="minorHAnsi" w:hAnsiTheme="minorHAnsi" w:cstheme="minorHAnsi"/>
          <w:i/>
          <w:sz w:val="24"/>
          <w:szCs w:val="24"/>
        </w:rPr>
        <w:t>(Belediyenin halen: 5.144 tam, 4.808 hisseli olmak üzere toplam 74.642.499 m2 arsa; 498 bina ve 1.546 işyeri; 2.201  (93’ü hisseli)  adet,  toplam alanı</w:t>
      </w:r>
      <w:r w:rsidRPr="000B0756">
        <w:rPr>
          <w:rFonts w:asciiTheme="minorHAnsi" w:hAnsiTheme="minorHAnsi" w:cstheme="minorHAnsi"/>
          <w:i/>
        </w:rPr>
        <w:t xml:space="preserve"> </w:t>
      </w:r>
      <w:r w:rsidRPr="000B0756">
        <w:rPr>
          <w:rFonts w:asciiTheme="minorHAnsi" w:hAnsiTheme="minorHAnsi" w:cstheme="minorHAnsi"/>
          <w:i/>
          <w:sz w:val="24"/>
          <w:szCs w:val="24"/>
        </w:rPr>
        <w:t>16.409.245 m2 büyüklüğünde park, mezarlık şeklinde taşınmaz malları bulunmaktadır.)</w:t>
      </w:r>
    </w:p>
    <w:p w:rsidR="000B0756" w:rsidRPr="000B0756" w:rsidRDefault="000B0756" w:rsidP="000B0756">
      <w:pPr>
        <w:pStyle w:val="SonnotMetni"/>
        <w:spacing w:line="240" w:lineRule="atLeast"/>
        <w:ind w:firstLine="851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D326C" w:rsidRPr="000B0756" w:rsidRDefault="00DD326C" w:rsidP="00DD326C">
      <w:pPr>
        <w:spacing w:after="0" w:line="240" w:lineRule="atLeast"/>
        <w:ind w:firstLine="851"/>
        <w:contextualSpacing/>
        <w:jc w:val="both"/>
        <w:rPr>
          <w:rFonts w:cstheme="minorHAnsi"/>
          <w:b/>
          <w:szCs w:val="24"/>
        </w:rPr>
      </w:pPr>
      <w:r w:rsidRPr="000B0756">
        <w:rPr>
          <w:rFonts w:cstheme="minorHAnsi"/>
          <w:b/>
          <w:szCs w:val="24"/>
        </w:rPr>
        <w:t>Kısa Vadeli Yabancı Kaynaklar (KVYK)</w:t>
      </w:r>
    </w:p>
    <w:p w:rsidR="000B0756" w:rsidRDefault="000B0756" w:rsidP="000B0756">
      <w:pPr>
        <w:spacing w:after="0" w:line="240" w:lineRule="atLeast"/>
        <w:ind w:firstLine="851"/>
        <w:contextualSpacing/>
        <w:jc w:val="both"/>
        <w:rPr>
          <w:rFonts w:cstheme="minorHAnsi"/>
          <w:b/>
          <w:szCs w:val="24"/>
        </w:rPr>
      </w:pPr>
      <w:r w:rsidRPr="000B0756">
        <w:rPr>
          <w:rFonts w:cstheme="minorHAnsi"/>
          <w:b/>
          <w:szCs w:val="24"/>
        </w:rPr>
        <w:t>13-</w:t>
      </w:r>
      <w:r w:rsidR="00DD326C" w:rsidRPr="000B0756">
        <w:rPr>
          <w:rFonts w:cstheme="minorHAnsi"/>
          <w:b/>
          <w:szCs w:val="24"/>
        </w:rPr>
        <w:t xml:space="preserve">Belediyenin KVYK toplamı 4,252 milyar TL </w:t>
      </w:r>
      <w:proofErr w:type="spellStart"/>
      <w:r w:rsidR="00DD326C" w:rsidRPr="000B0756">
        <w:rPr>
          <w:rFonts w:cstheme="minorHAnsi"/>
          <w:b/>
          <w:szCs w:val="24"/>
        </w:rPr>
        <w:t>dir</w:t>
      </w:r>
      <w:proofErr w:type="spellEnd"/>
      <w:r w:rsidR="00DD326C" w:rsidRPr="000B0756">
        <w:rPr>
          <w:rFonts w:cstheme="minorHAnsi"/>
          <w:b/>
          <w:szCs w:val="24"/>
        </w:rPr>
        <w:t xml:space="preserve">. KVYK </w:t>
      </w:r>
      <w:proofErr w:type="spellStart"/>
      <w:r w:rsidR="00DD326C" w:rsidRPr="000B0756">
        <w:rPr>
          <w:rFonts w:cstheme="minorHAnsi"/>
          <w:b/>
          <w:szCs w:val="24"/>
        </w:rPr>
        <w:t>larda</w:t>
      </w:r>
      <w:proofErr w:type="spellEnd"/>
      <w:r w:rsidR="00DD326C" w:rsidRPr="000B0756">
        <w:rPr>
          <w:rFonts w:cstheme="minorHAnsi"/>
          <w:b/>
          <w:szCs w:val="24"/>
        </w:rPr>
        <w:t xml:space="preserve"> bir önceki yıla göre %35 oranında artış olmuştur.</w:t>
      </w:r>
    </w:p>
    <w:p w:rsidR="000B0756" w:rsidRDefault="00DD326C" w:rsidP="000B0756">
      <w:pPr>
        <w:spacing w:after="0" w:line="240" w:lineRule="atLeast"/>
        <w:ind w:firstLine="851"/>
        <w:contextualSpacing/>
        <w:jc w:val="both"/>
        <w:rPr>
          <w:rFonts w:cstheme="minorHAnsi"/>
          <w:szCs w:val="24"/>
        </w:rPr>
      </w:pPr>
      <w:r w:rsidRPr="000B0756">
        <w:rPr>
          <w:rFonts w:cstheme="minorHAnsi"/>
          <w:b/>
          <w:szCs w:val="24"/>
        </w:rPr>
        <w:t>Belediyenin toplam 1,925 milyar olan kısa vadeli mali borçları; 181,6 milyon TL banka kredisi ve 1,743 milyon TL kamu idarelerin</w:t>
      </w:r>
      <w:r w:rsidR="000B0756" w:rsidRPr="000B0756">
        <w:rPr>
          <w:rFonts w:cstheme="minorHAnsi"/>
          <w:b/>
          <w:szCs w:val="24"/>
        </w:rPr>
        <w:t>e olan borçlardan oluşmaktadır</w:t>
      </w:r>
      <w:r w:rsidR="000B0756">
        <w:rPr>
          <w:rFonts w:cstheme="minorHAnsi"/>
          <w:szCs w:val="24"/>
        </w:rPr>
        <w:t>.</w:t>
      </w:r>
    </w:p>
    <w:p w:rsidR="000B0756" w:rsidRDefault="00DD326C" w:rsidP="000B0756">
      <w:pPr>
        <w:spacing w:after="0" w:line="240" w:lineRule="atLeast"/>
        <w:ind w:firstLine="851"/>
        <w:contextualSpacing/>
        <w:jc w:val="both"/>
        <w:rPr>
          <w:rFonts w:cstheme="minorHAnsi"/>
          <w:szCs w:val="24"/>
        </w:rPr>
      </w:pPr>
      <w:r w:rsidRPr="000B0756">
        <w:rPr>
          <w:rFonts w:cstheme="minorHAnsi"/>
          <w:szCs w:val="24"/>
          <w:u w:val="single"/>
        </w:rPr>
        <w:t>Yıl içerisinde nakit yetersizliği vb. nedenlerle 1,567 milyar TL tutarında ödeme yapılamamıştır</w:t>
      </w:r>
      <w:r w:rsidRPr="000B0756">
        <w:rPr>
          <w:rFonts w:cstheme="minorHAnsi"/>
          <w:szCs w:val="24"/>
        </w:rPr>
        <w:t>.</w:t>
      </w:r>
    </w:p>
    <w:p w:rsidR="00DD326C" w:rsidRPr="000B0756" w:rsidRDefault="00DD326C" w:rsidP="000B0756">
      <w:pPr>
        <w:spacing w:after="0" w:line="240" w:lineRule="atLeast"/>
        <w:ind w:firstLine="851"/>
        <w:contextualSpacing/>
        <w:jc w:val="both"/>
        <w:rPr>
          <w:rFonts w:cstheme="minorHAnsi"/>
          <w:szCs w:val="24"/>
        </w:rPr>
      </w:pPr>
      <w:r w:rsidRPr="000B0756">
        <w:rPr>
          <w:rFonts w:cstheme="minorHAnsi"/>
          <w:szCs w:val="24"/>
        </w:rPr>
        <w:t xml:space="preserve">Emanete alınmış yabancı kaynakların ( depozito, teminat ve paraların ) tutarı 531 milyon TL </w:t>
      </w:r>
      <w:proofErr w:type="spellStart"/>
      <w:r w:rsidRPr="000B0756">
        <w:rPr>
          <w:rFonts w:cstheme="minorHAnsi"/>
          <w:szCs w:val="24"/>
        </w:rPr>
        <w:t>dir</w:t>
      </w:r>
      <w:proofErr w:type="spellEnd"/>
      <w:r w:rsidRPr="000B0756">
        <w:rPr>
          <w:rFonts w:cstheme="minorHAnsi"/>
          <w:szCs w:val="24"/>
        </w:rPr>
        <w:t>.</w:t>
      </w:r>
    </w:p>
    <w:p w:rsidR="00DD326C" w:rsidRPr="000B0756" w:rsidRDefault="00DD326C" w:rsidP="00DD326C">
      <w:pPr>
        <w:spacing w:after="0" w:line="240" w:lineRule="atLeast"/>
        <w:ind w:firstLine="851"/>
        <w:contextualSpacing/>
        <w:jc w:val="both"/>
        <w:rPr>
          <w:rFonts w:cstheme="minorHAnsi"/>
          <w:b/>
          <w:szCs w:val="24"/>
        </w:rPr>
      </w:pPr>
      <w:r w:rsidRPr="000B0756">
        <w:rPr>
          <w:rFonts w:cstheme="minorHAnsi"/>
          <w:szCs w:val="24"/>
        </w:rPr>
        <w:t xml:space="preserve">Ödenecek diğer yükümlükleri ise 15 milyon TL vergi dairesine, 6 milyon TL SGK’ ya, 42,2 milyon TL fon ve kamu idareleri payları olmak üzere toplam 63,4 milyon TL </w:t>
      </w:r>
      <w:proofErr w:type="spellStart"/>
      <w:r w:rsidRPr="000B0756">
        <w:rPr>
          <w:rFonts w:cstheme="minorHAnsi"/>
          <w:szCs w:val="24"/>
        </w:rPr>
        <w:t>dir</w:t>
      </w:r>
      <w:proofErr w:type="spellEnd"/>
      <w:r w:rsidRPr="000B0756">
        <w:rPr>
          <w:rFonts w:cstheme="minorHAnsi"/>
          <w:szCs w:val="24"/>
        </w:rPr>
        <w:t xml:space="preserve">. </w:t>
      </w:r>
    </w:p>
    <w:p w:rsidR="00DD326C" w:rsidRDefault="00DD326C" w:rsidP="00DD326C">
      <w:pPr>
        <w:spacing w:after="0" w:line="240" w:lineRule="atLeast"/>
        <w:ind w:firstLine="708"/>
        <w:contextualSpacing/>
        <w:jc w:val="both"/>
        <w:rPr>
          <w:rFonts w:cstheme="minorHAnsi"/>
          <w:szCs w:val="24"/>
        </w:rPr>
      </w:pPr>
      <w:r w:rsidRPr="000B0756">
        <w:rPr>
          <w:rFonts w:cstheme="minorHAnsi"/>
          <w:szCs w:val="24"/>
        </w:rPr>
        <w:t xml:space="preserve">   </w:t>
      </w:r>
      <w:r w:rsidRPr="000B0756">
        <w:rPr>
          <w:rFonts w:cstheme="minorHAnsi"/>
          <w:szCs w:val="24"/>
          <w:u w:val="single"/>
        </w:rPr>
        <w:t>Kısa vadeli yabancı kaynakların uzun vadeli yabancı kaynaklardan fazla olması dikkat çekici bir durumdur</w:t>
      </w:r>
      <w:r w:rsidRPr="000B0756">
        <w:rPr>
          <w:rFonts w:cstheme="minorHAnsi"/>
          <w:szCs w:val="24"/>
        </w:rPr>
        <w:t>.</w:t>
      </w:r>
    </w:p>
    <w:p w:rsidR="006F4C73" w:rsidRPr="000B0756" w:rsidRDefault="006F4C73" w:rsidP="00DD326C">
      <w:pPr>
        <w:spacing w:after="0" w:line="240" w:lineRule="atLeast"/>
        <w:ind w:firstLine="708"/>
        <w:contextualSpacing/>
        <w:jc w:val="both"/>
        <w:rPr>
          <w:rFonts w:cstheme="minorHAnsi"/>
          <w:szCs w:val="24"/>
        </w:rPr>
      </w:pPr>
    </w:p>
    <w:p w:rsidR="00DD326C" w:rsidRPr="000B0756" w:rsidRDefault="00DD326C" w:rsidP="00DD326C">
      <w:pPr>
        <w:spacing w:after="0" w:line="240" w:lineRule="atLeast"/>
        <w:ind w:firstLine="708"/>
        <w:contextualSpacing/>
        <w:jc w:val="both"/>
        <w:rPr>
          <w:rFonts w:cstheme="minorHAnsi"/>
          <w:b/>
          <w:szCs w:val="24"/>
        </w:rPr>
      </w:pPr>
      <w:r w:rsidRPr="000B0756">
        <w:rPr>
          <w:rFonts w:cstheme="minorHAnsi"/>
          <w:szCs w:val="24"/>
        </w:rPr>
        <w:t xml:space="preserve">   </w:t>
      </w:r>
      <w:r w:rsidRPr="000B0756">
        <w:rPr>
          <w:rFonts w:cstheme="minorHAnsi"/>
          <w:b/>
          <w:szCs w:val="24"/>
        </w:rPr>
        <w:t>Uzun Vadeli Yabancı Kaynaklar (UVYK) ve Öz Kaynaklar</w:t>
      </w:r>
    </w:p>
    <w:p w:rsidR="00DD326C" w:rsidRPr="006F4C73" w:rsidRDefault="006F4C73" w:rsidP="00DD326C">
      <w:pPr>
        <w:spacing w:after="0" w:line="240" w:lineRule="atLeast"/>
        <w:ind w:firstLine="851"/>
        <w:contextualSpacing/>
        <w:jc w:val="both"/>
        <w:rPr>
          <w:rFonts w:cstheme="minorHAnsi"/>
          <w:b/>
          <w:szCs w:val="24"/>
        </w:rPr>
      </w:pPr>
      <w:r>
        <w:rPr>
          <w:rFonts w:cstheme="minorHAnsi"/>
          <w:szCs w:val="24"/>
        </w:rPr>
        <w:t>14-</w:t>
      </w:r>
      <w:r w:rsidR="00DD326C" w:rsidRPr="006F4C73">
        <w:rPr>
          <w:rFonts w:cstheme="minorHAnsi"/>
          <w:b/>
          <w:szCs w:val="24"/>
        </w:rPr>
        <w:t xml:space="preserve">Belediyenin uzun vadeli mali borçları; 894 milyon TL banka kredileri, 363 milyon TL kamu idarelerine ait olmak üzere toplam1,257 milyar TL </w:t>
      </w:r>
      <w:proofErr w:type="spellStart"/>
      <w:r w:rsidR="00DD326C" w:rsidRPr="006F4C73">
        <w:rPr>
          <w:rFonts w:cstheme="minorHAnsi"/>
          <w:b/>
          <w:szCs w:val="24"/>
        </w:rPr>
        <w:t>dir</w:t>
      </w:r>
      <w:proofErr w:type="spellEnd"/>
      <w:r w:rsidR="00DD326C" w:rsidRPr="006F4C73">
        <w:rPr>
          <w:rFonts w:cstheme="minorHAnsi"/>
          <w:b/>
          <w:szCs w:val="24"/>
        </w:rPr>
        <w:t>.</w:t>
      </w:r>
    </w:p>
    <w:p w:rsidR="00DD326C" w:rsidRPr="000B0756" w:rsidRDefault="00DD326C" w:rsidP="00DD326C">
      <w:pPr>
        <w:spacing w:after="0" w:line="240" w:lineRule="atLeast"/>
        <w:ind w:firstLine="851"/>
        <w:contextualSpacing/>
        <w:jc w:val="both"/>
        <w:rPr>
          <w:rFonts w:cstheme="minorHAnsi"/>
          <w:szCs w:val="24"/>
        </w:rPr>
      </w:pPr>
      <w:r w:rsidRPr="000B0756">
        <w:rPr>
          <w:rFonts w:cstheme="minorHAnsi"/>
          <w:szCs w:val="24"/>
        </w:rPr>
        <w:t>Gelecek yıllara ait gelirlerden 330 milyon TL tahsil edilmiştir.</w:t>
      </w:r>
    </w:p>
    <w:p w:rsidR="00DD326C" w:rsidRPr="000B0756" w:rsidRDefault="00DD326C" w:rsidP="00DD326C">
      <w:pPr>
        <w:spacing w:after="0" w:line="240" w:lineRule="atLeast"/>
        <w:ind w:firstLine="851"/>
        <w:contextualSpacing/>
        <w:jc w:val="both"/>
        <w:rPr>
          <w:rFonts w:cstheme="minorHAnsi"/>
          <w:szCs w:val="24"/>
        </w:rPr>
      </w:pPr>
      <w:r w:rsidRPr="000B0756">
        <w:rPr>
          <w:rFonts w:cstheme="minorHAnsi"/>
          <w:szCs w:val="24"/>
        </w:rPr>
        <w:t xml:space="preserve">Dönem olumlu faaliyet sonucu 1,469 milyar TL </w:t>
      </w:r>
      <w:proofErr w:type="spellStart"/>
      <w:r w:rsidRPr="000B0756">
        <w:rPr>
          <w:rFonts w:cstheme="minorHAnsi"/>
          <w:szCs w:val="24"/>
        </w:rPr>
        <w:t>dir</w:t>
      </w:r>
      <w:proofErr w:type="spellEnd"/>
      <w:r w:rsidRPr="000B0756">
        <w:rPr>
          <w:rFonts w:cstheme="minorHAnsi"/>
          <w:szCs w:val="24"/>
        </w:rPr>
        <w:t>.</w:t>
      </w:r>
    </w:p>
    <w:p w:rsidR="00DD326C" w:rsidRPr="000B0756" w:rsidRDefault="00DD326C" w:rsidP="00D10E32">
      <w:pPr>
        <w:spacing w:after="0" w:line="240" w:lineRule="atLeast"/>
        <w:ind w:firstLine="851"/>
        <w:contextualSpacing/>
        <w:jc w:val="both"/>
        <w:rPr>
          <w:rFonts w:cstheme="minorHAnsi"/>
          <w:szCs w:val="24"/>
        </w:rPr>
      </w:pPr>
      <w:r w:rsidRPr="000B0756">
        <w:rPr>
          <w:rFonts w:cstheme="minorHAnsi"/>
          <w:szCs w:val="24"/>
        </w:rPr>
        <w:t>UVYK bir önceki döneme göre % 24 oranında azalma olduğu, UVYK yerine KVYK ağırlık verildiği görülmektedir.</w:t>
      </w:r>
    </w:p>
    <w:p w:rsidR="00D10E32" w:rsidRDefault="00D10E32" w:rsidP="00D10E32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Cs w:val="24"/>
        </w:rPr>
      </w:pPr>
    </w:p>
    <w:p w:rsidR="006F4C73" w:rsidRDefault="00D10E32" w:rsidP="006F4C73">
      <w:pPr>
        <w:spacing w:after="0" w:line="240" w:lineRule="atLeast"/>
        <w:ind w:firstLine="851"/>
        <w:contextualSpacing/>
        <w:jc w:val="both"/>
        <w:rPr>
          <w:b/>
          <w:szCs w:val="24"/>
        </w:rPr>
      </w:pPr>
      <w:r w:rsidRPr="00DC5CBE">
        <w:rPr>
          <w:b/>
          <w:szCs w:val="24"/>
        </w:rPr>
        <w:t>II</w:t>
      </w:r>
      <w:r>
        <w:rPr>
          <w:b/>
          <w:szCs w:val="24"/>
        </w:rPr>
        <w:t xml:space="preserve">I- ABB 2019 YILI BÜTÇESİ I. DÖNEMDEKİ GERÇEKLEŞMELER </w:t>
      </w:r>
    </w:p>
    <w:p w:rsidR="006F4C73" w:rsidRDefault="006F4C73" w:rsidP="006F4C73">
      <w:pPr>
        <w:spacing w:after="0" w:line="240" w:lineRule="atLeast"/>
        <w:ind w:firstLine="851"/>
        <w:contextualSpacing/>
        <w:jc w:val="both"/>
        <w:rPr>
          <w:b/>
          <w:szCs w:val="24"/>
        </w:rPr>
      </w:pPr>
      <w:r>
        <w:rPr>
          <w:b/>
          <w:szCs w:val="24"/>
        </w:rPr>
        <w:t>A)-Gider Gerçekleşmeleri</w:t>
      </w:r>
    </w:p>
    <w:p w:rsidR="00D10E32" w:rsidRPr="006F4C73" w:rsidRDefault="006F4C73" w:rsidP="006F4C73">
      <w:pPr>
        <w:spacing w:after="0" w:line="240" w:lineRule="atLeast"/>
        <w:ind w:firstLine="851"/>
        <w:contextualSpacing/>
        <w:jc w:val="both"/>
        <w:rPr>
          <w:rFonts w:cstheme="minorHAnsi"/>
          <w:b/>
          <w:szCs w:val="24"/>
        </w:rPr>
      </w:pPr>
      <w:r w:rsidRPr="006F4C73">
        <w:rPr>
          <w:rFonts w:cstheme="minorHAnsi"/>
          <w:b/>
          <w:szCs w:val="24"/>
        </w:rPr>
        <w:t>15</w:t>
      </w:r>
      <w:r>
        <w:rPr>
          <w:rFonts w:cstheme="minorHAnsi"/>
          <w:szCs w:val="24"/>
        </w:rPr>
        <w:t>-</w:t>
      </w:r>
      <w:r w:rsidR="00891559" w:rsidRPr="006F4C73">
        <w:rPr>
          <w:rFonts w:cstheme="minorHAnsi"/>
          <w:szCs w:val="24"/>
        </w:rPr>
        <w:t xml:space="preserve">ABB </w:t>
      </w:r>
      <w:r w:rsidR="00FF47EA" w:rsidRPr="006F4C73">
        <w:rPr>
          <w:rFonts w:cstheme="minorHAnsi"/>
          <w:szCs w:val="24"/>
        </w:rPr>
        <w:t xml:space="preserve">2018 ve 2019 yılları </w:t>
      </w:r>
      <w:r w:rsidR="00472467" w:rsidRPr="006F4C73">
        <w:rPr>
          <w:rFonts w:cstheme="minorHAnsi"/>
          <w:szCs w:val="24"/>
        </w:rPr>
        <w:t>gider bütçelerinde</w:t>
      </w:r>
      <w:r w:rsidR="00891559" w:rsidRPr="006F4C73">
        <w:rPr>
          <w:rFonts w:cstheme="minorHAnsi"/>
          <w:szCs w:val="24"/>
        </w:rPr>
        <w:t xml:space="preserve"> ekonomik sınıflandırmaya göre 1.</w:t>
      </w:r>
      <w:r w:rsidR="00FF47EA" w:rsidRPr="006F4C73">
        <w:rPr>
          <w:rFonts w:cstheme="minorHAnsi"/>
          <w:szCs w:val="24"/>
        </w:rPr>
        <w:t xml:space="preserve"> dönemlerde ( Ocak- M</w:t>
      </w:r>
      <w:r w:rsidR="00891559" w:rsidRPr="006F4C73">
        <w:rPr>
          <w:rFonts w:cstheme="minorHAnsi"/>
          <w:szCs w:val="24"/>
        </w:rPr>
        <w:t>art aylarında)</w:t>
      </w:r>
      <w:r w:rsidR="00472467" w:rsidRPr="006F4C73">
        <w:rPr>
          <w:rFonts w:cstheme="minorHAnsi"/>
          <w:szCs w:val="24"/>
        </w:rPr>
        <w:t xml:space="preserve"> ilk üç ayda</w:t>
      </w:r>
      <w:r w:rsidR="00891559" w:rsidRPr="006F4C73">
        <w:rPr>
          <w:rFonts w:cstheme="minorHAnsi"/>
          <w:szCs w:val="24"/>
        </w:rPr>
        <w:t xml:space="preserve"> gerçekleşmiş bütçe giderleri</w:t>
      </w:r>
      <w:r w:rsidR="00FF47EA" w:rsidRPr="006F4C73">
        <w:rPr>
          <w:rFonts w:cstheme="minorHAnsi"/>
          <w:szCs w:val="24"/>
        </w:rPr>
        <w:t>, 2018/2019 değişim oranları</w:t>
      </w:r>
      <w:r w:rsidR="00891559" w:rsidRPr="006F4C73">
        <w:rPr>
          <w:rFonts w:cstheme="minorHAnsi"/>
          <w:szCs w:val="24"/>
        </w:rPr>
        <w:t xml:space="preserve"> aşağıda</w:t>
      </w:r>
      <w:r w:rsidR="00FF47EA" w:rsidRPr="006F4C73">
        <w:rPr>
          <w:rFonts w:cstheme="minorHAnsi"/>
          <w:szCs w:val="24"/>
        </w:rPr>
        <w:t>ki</w:t>
      </w:r>
      <w:r w:rsidR="00891559" w:rsidRPr="006F4C73">
        <w:rPr>
          <w:rFonts w:cstheme="minorHAnsi"/>
          <w:szCs w:val="24"/>
        </w:rPr>
        <w:t xml:space="preserve"> tabloda gösterilmiştir.</w:t>
      </w:r>
    </w:p>
    <w:p w:rsidR="00891559" w:rsidRPr="006F4C73" w:rsidRDefault="00FF47EA" w:rsidP="00D10E32">
      <w:pPr>
        <w:spacing w:after="0" w:line="240" w:lineRule="atLeast"/>
        <w:contextualSpacing/>
        <w:jc w:val="both"/>
        <w:rPr>
          <w:rFonts w:cstheme="minorHAnsi"/>
          <w:szCs w:val="24"/>
        </w:rPr>
      </w:pPr>
      <w:r w:rsidRPr="006F4C73">
        <w:rPr>
          <w:rFonts w:cstheme="minorHAnsi"/>
          <w:szCs w:val="24"/>
        </w:rPr>
        <w:tab/>
        <w:t xml:space="preserve">   </w:t>
      </w:r>
    </w:p>
    <w:p w:rsidR="00D10E32" w:rsidRPr="00DD10DB" w:rsidRDefault="00891559" w:rsidP="00D10E3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Cs w:val="24"/>
        </w:rPr>
        <w:t xml:space="preserve">                </w:t>
      </w:r>
      <w:r w:rsidR="009877C2">
        <w:rPr>
          <w:rFonts w:cstheme="minorHAnsi"/>
          <w:b/>
          <w:sz w:val="20"/>
          <w:szCs w:val="20"/>
        </w:rPr>
        <w:t>Tablo: 6</w:t>
      </w:r>
      <w:r w:rsidRPr="006F4C73">
        <w:rPr>
          <w:rFonts w:cstheme="minorHAnsi"/>
          <w:b/>
          <w:sz w:val="20"/>
          <w:szCs w:val="20"/>
        </w:rPr>
        <w:t xml:space="preserve"> </w:t>
      </w:r>
      <w:r w:rsidR="00D10E32" w:rsidRPr="006F4C73">
        <w:rPr>
          <w:rFonts w:cstheme="minorHAnsi"/>
          <w:b/>
          <w:sz w:val="20"/>
          <w:szCs w:val="20"/>
        </w:rPr>
        <w:t>ABB 2019 Yılı Gider Bütçesinde Ekonomik Sınıflandırmaya Göre I. Dönemde Gerçekleşmiş Bütçe Giderleri</w:t>
      </w:r>
      <w:r w:rsidR="00D10E32" w:rsidRPr="006F4C73">
        <w:rPr>
          <w:rFonts w:cstheme="minorHAnsi"/>
          <w:b/>
          <w:szCs w:val="24"/>
        </w:rPr>
        <w:t xml:space="preserve"> </w:t>
      </w:r>
      <w:r w:rsidR="00D10E32" w:rsidRPr="006F4C73">
        <w:rPr>
          <w:rFonts w:cstheme="minorHAnsi"/>
          <w:sz w:val="18"/>
          <w:szCs w:val="18"/>
        </w:rPr>
        <w:t xml:space="preserve"> </w:t>
      </w:r>
      <w:r w:rsidR="00D10E32" w:rsidRPr="006F4C73">
        <w:rPr>
          <w:rFonts w:cstheme="minorHAnsi"/>
          <w:b/>
          <w:sz w:val="20"/>
          <w:szCs w:val="20"/>
        </w:rPr>
        <w:t>(Bin TL</w:t>
      </w:r>
      <w:r w:rsidR="00D10E32" w:rsidRPr="00DD10DB">
        <w:rPr>
          <w:rFonts w:ascii="Times New Roman" w:hAnsi="Times New Roman" w:cs="Times New Roman"/>
          <w:b/>
          <w:sz w:val="20"/>
          <w:szCs w:val="20"/>
        </w:rPr>
        <w:t>)</w:t>
      </w:r>
    </w:p>
    <w:p w:rsidR="00D10E32" w:rsidRPr="003D4541" w:rsidRDefault="00D10E32" w:rsidP="00D10E32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3D4541">
        <w:rPr>
          <w:rFonts w:ascii="Times New Roman" w:hAnsi="Times New Roman" w:cs="Times New Roman"/>
        </w:rPr>
        <w:t xml:space="preserve">                        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46"/>
        <w:gridCol w:w="1065"/>
        <w:gridCol w:w="1016"/>
        <w:gridCol w:w="566"/>
        <w:gridCol w:w="1016"/>
        <w:gridCol w:w="1134"/>
        <w:gridCol w:w="566"/>
        <w:gridCol w:w="863"/>
      </w:tblGrid>
      <w:tr w:rsidR="00D10E32" w:rsidRPr="003D4541" w:rsidTr="0020385F">
        <w:trPr>
          <w:trHeight w:val="295"/>
          <w:jc w:val="center"/>
        </w:trPr>
        <w:tc>
          <w:tcPr>
            <w:tcW w:w="0" w:type="auto"/>
            <w:vMerge w:val="restart"/>
          </w:tcPr>
          <w:p w:rsidR="00D10E32" w:rsidRPr="003D4541" w:rsidRDefault="00D10E32" w:rsidP="002038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GİDERİN TÜRÜ</w:t>
            </w:r>
          </w:p>
        </w:tc>
        <w:tc>
          <w:tcPr>
            <w:tcW w:w="0" w:type="auto"/>
            <w:gridSpan w:val="3"/>
          </w:tcPr>
          <w:p w:rsidR="00D10E32" w:rsidRPr="00DD10DB" w:rsidRDefault="00D10E32" w:rsidP="0020385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gridSpan w:val="3"/>
          </w:tcPr>
          <w:p w:rsidR="00D10E32" w:rsidRDefault="00D10E32" w:rsidP="002038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vMerge w:val="restart"/>
          </w:tcPr>
          <w:p w:rsidR="00D10E32" w:rsidRPr="003D4541" w:rsidRDefault="00D10E32" w:rsidP="002038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Değ.</w:t>
            </w: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Oranı</w:t>
            </w:r>
          </w:p>
          <w:p w:rsidR="00D10E32" w:rsidRPr="003D4541" w:rsidRDefault="00D10E32" w:rsidP="002038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D10E32" w:rsidRPr="003D4541" w:rsidTr="0020385F">
        <w:trPr>
          <w:trHeight w:val="413"/>
          <w:jc w:val="center"/>
        </w:trPr>
        <w:tc>
          <w:tcPr>
            <w:tcW w:w="0" w:type="auto"/>
            <w:vMerge/>
          </w:tcPr>
          <w:p w:rsidR="00D10E32" w:rsidRPr="003D4541" w:rsidRDefault="00D10E32" w:rsidP="002038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0E32" w:rsidRPr="00DD10DB" w:rsidRDefault="00D10E32" w:rsidP="0020385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 </w:t>
            </w:r>
            <w:proofErr w:type="spellStart"/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>Gerç</w:t>
            </w:r>
            <w:proofErr w:type="spellEnd"/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10E32" w:rsidRPr="00DD10DB" w:rsidRDefault="00D10E32" w:rsidP="0020385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>1.Dönem</w:t>
            </w:r>
          </w:p>
          <w:p w:rsidR="00D10E32" w:rsidRPr="00DD10DB" w:rsidRDefault="00D10E32" w:rsidP="0020385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>Gerç</w:t>
            </w:r>
            <w:proofErr w:type="spellEnd"/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10E32" w:rsidRDefault="00D10E32" w:rsidP="0020385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D10E32" w:rsidRDefault="00D10E32" w:rsidP="002038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Bütçe</w:t>
            </w:r>
          </w:p>
        </w:tc>
        <w:tc>
          <w:tcPr>
            <w:tcW w:w="0" w:type="auto"/>
          </w:tcPr>
          <w:p w:rsidR="00D10E32" w:rsidRDefault="00D10E32" w:rsidP="002038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1.Dönem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Gerç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Merge/>
          </w:tcPr>
          <w:p w:rsidR="00D10E32" w:rsidRPr="003D4541" w:rsidRDefault="00D10E32" w:rsidP="002038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0E32" w:rsidRPr="003D4541" w:rsidTr="0020385F">
        <w:trPr>
          <w:trHeight w:val="268"/>
          <w:jc w:val="center"/>
        </w:trPr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1-Personel Giderleri</w:t>
            </w:r>
          </w:p>
        </w:tc>
        <w:tc>
          <w:tcPr>
            <w:tcW w:w="0" w:type="auto"/>
          </w:tcPr>
          <w:p w:rsidR="00D10E32" w:rsidRPr="00DD10DB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359.274</w:t>
            </w:r>
          </w:p>
        </w:tc>
        <w:tc>
          <w:tcPr>
            <w:tcW w:w="0" w:type="auto"/>
            <w:vAlign w:val="bottom"/>
          </w:tcPr>
          <w:p w:rsidR="00D10E32" w:rsidRPr="00DD10DB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89.490</w:t>
            </w:r>
          </w:p>
        </w:tc>
        <w:tc>
          <w:tcPr>
            <w:tcW w:w="0" w:type="auto"/>
          </w:tcPr>
          <w:p w:rsidR="00D10E32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419.410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105.305</w:t>
            </w:r>
          </w:p>
        </w:tc>
        <w:tc>
          <w:tcPr>
            <w:tcW w:w="0" w:type="auto"/>
          </w:tcPr>
          <w:p w:rsidR="00D10E32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10E32" w:rsidRPr="003D4541" w:rsidTr="0020385F">
        <w:trPr>
          <w:trHeight w:val="350"/>
          <w:jc w:val="center"/>
        </w:trPr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2-SGK Devlet Primi </w:t>
            </w:r>
          </w:p>
        </w:tc>
        <w:tc>
          <w:tcPr>
            <w:tcW w:w="0" w:type="auto"/>
          </w:tcPr>
          <w:p w:rsidR="00D10E32" w:rsidRPr="00DD10DB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48.421</w:t>
            </w:r>
          </w:p>
        </w:tc>
        <w:tc>
          <w:tcPr>
            <w:tcW w:w="0" w:type="auto"/>
            <w:vAlign w:val="bottom"/>
          </w:tcPr>
          <w:p w:rsidR="00D10E32" w:rsidRPr="00DD10DB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11.837</w:t>
            </w:r>
          </w:p>
        </w:tc>
        <w:tc>
          <w:tcPr>
            <w:tcW w:w="0" w:type="auto"/>
          </w:tcPr>
          <w:p w:rsidR="00D10E32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84.428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13.220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D10E32" w:rsidRPr="003D4541" w:rsidTr="0020385F">
        <w:trPr>
          <w:jc w:val="center"/>
        </w:trPr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3- Mal ve Hizmet Alımları</w:t>
            </w:r>
          </w:p>
        </w:tc>
        <w:tc>
          <w:tcPr>
            <w:tcW w:w="0" w:type="auto"/>
          </w:tcPr>
          <w:p w:rsidR="00D10E32" w:rsidRPr="00DD10DB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2.005.496</w:t>
            </w:r>
          </w:p>
        </w:tc>
        <w:tc>
          <w:tcPr>
            <w:tcW w:w="0" w:type="auto"/>
            <w:vAlign w:val="bottom"/>
          </w:tcPr>
          <w:p w:rsidR="00D10E32" w:rsidRPr="00DD10DB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775.475</w:t>
            </w:r>
          </w:p>
        </w:tc>
        <w:tc>
          <w:tcPr>
            <w:tcW w:w="0" w:type="auto"/>
          </w:tcPr>
          <w:p w:rsidR="00D10E32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2.583.069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349.636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</w:t>
            </w:r>
          </w:p>
        </w:tc>
      </w:tr>
      <w:tr w:rsidR="00D10E32" w:rsidRPr="003D4541" w:rsidTr="0020385F">
        <w:trPr>
          <w:trHeight w:val="270"/>
          <w:jc w:val="center"/>
        </w:trPr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Faiz Giderleri</w:t>
            </w:r>
          </w:p>
        </w:tc>
        <w:tc>
          <w:tcPr>
            <w:tcW w:w="0" w:type="auto"/>
          </w:tcPr>
          <w:p w:rsidR="00D10E32" w:rsidRPr="00DD10DB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148.263</w:t>
            </w:r>
          </w:p>
        </w:tc>
        <w:tc>
          <w:tcPr>
            <w:tcW w:w="0" w:type="auto"/>
            <w:vAlign w:val="bottom"/>
          </w:tcPr>
          <w:p w:rsidR="00D10E32" w:rsidRPr="00DD10DB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41.220</w:t>
            </w:r>
          </w:p>
        </w:tc>
        <w:tc>
          <w:tcPr>
            <w:tcW w:w="0" w:type="auto"/>
          </w:tcPr>
          <w:p w:rsidR="00D10E32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215.004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46.841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D10E32" w:rsidRPr="003D4541" w:rsidTr="0020385F">
        <w:trPr>
          <w:trHeight w:val="1131"/>
          <w:jc w:val="center"/>
        </w:trPr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Cari Transferler</w:t>
            </w:r>
          </w:p>
          <w:p w:rsidR="00D10E32" w:rsidRPr="003D4541" w:rsidRDefault="00D10E32" w:rsidP="0020385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(Kar amacı gütmeyen kuruluşlara/hane halkına yapılan transferler, gelirlerden ayrılan paylar vb.) </w:t>
            </w:r>
          </w:p>
        </w:tc>
        <w:tc>
          <w:tcPr>
            <w:tcW w:w="0" w:type="auto"/>
          </w:tcPr>
          <w:p w:rsidR="00D10E32" w:rsidRPr="00DD10DB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542.048</w:t>
            </w:r>
          </w:p>
        </w:tc>
        <w:tc>
          <w:tcPr>
            <w:tcW w:w="0" w:type="auto"/>
          </w:tcPr>
          <w:p w:rsidR="00D10E32" w:rsidRPr="00DD10DB" w:rsidRDefault="00D10E32" w:rsidP="0020385F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78.141</w:t>
            </w:r>
          </w:p>
        </w:tc>
        <w:tc>
          <w:tcPr>
            <w:tcW w:w="0" w:type="auto"/>
          </w:tcPr>
          <w:p w:rsidR="00D10E32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555.470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150.354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D10E32" w:rsidRPr="003D4541" w:rsidTr="0020385F">
        <w:trPr>
          <w:jc w:val="center"/>
        </w:trPr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6-Sermaye (Yatırım)  Giderleri</w:t>
            </w:r>
          </w:p>
        </w:tc>
        <w:tc>
          <w:tcPr>
            <w:tcW w:w="0" w:type="auto"/>
          </w:tcPr>
          <w:p w:rsidR="00D10E32" w:rsidRPr="00DD10DB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3.055.169</w:t>
            </w:r>
          </w:p>
        </w:tc>
        <w:tc>
          <w:tcPr>
            <w:tcW w:w="0" w:type="auto"/>
          </w:tcPr>
          <w:p w:rsidR="00D10E32" w:rsidRPr="00DD10DB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769.665</w:t>
            </w:r>
          </w:p>
        </w:tc>
        <w:tc>
          <w:tcPr>
            <w:tcW w:w="0" w:type="auto"/>
          </w:tcPr>
          <w:p w:rsidR="00D10E32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3.637.413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585.973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-23,8</w:t>
            </w:r>
          </w:p>
        </w:tc>
      </w:tr>
      <w:tr w:rsidR="00D10E32" w:rsidRPr="003D4541" w:rsidTr="0020385F">
        <w:trPr>
          <w:jc w:val="center"/>
        </w:trPr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D4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Sermaye Transferleri</w:t>
            </w:r>
          </w:p>
          <w:p w:rsidR="00D10E32" w:rsidRPr="003D4541" w:rsidRDefault="00D10E32" w:rsidP="0020385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Bağlı </w:t>
            </w:r>
            <w:r w:rsidRPr="003D4541">
              <w:rPr>
                <w:rFonts w:ascii="Times New Roman" w:hAnsi="Times New Roman" w:cs="Times New Roman"/>
                <w:i/>
                <w:sz w:val="20"/>
                <w:szCs w:val="20"/>
              </w:rPr>
              <w:t>idarelere/kamu ortaklıklarına vb. yapılanlar)</w:t>
            </w:r>
          </w:p>
        </w:tc>
        <w:tc>
          <w:tcPr>
            <w:tcW w:w="0" w:type="auto"/>
          </w:tcPr>
          <w:p w:rsidR="00D10E32" w:rsidRPr="00DD10DB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102.518</w:t>
            </w:r>
          </w:p>
        </w:tc>
        <w:tc>
          <w:tcPr>
            <w:tcW w:w="0" w:type="auto"/>
          </w:tcPr>
          <w:p w:rsidR="00D10E32" w:rsidRPr="00DD10DB" w:rsidRDefault="00D10E32" w:rsidP="0020385F">
            <w:pPr>
              <w:spacing w:line="72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D10E32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25.050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95.000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21.011</w:t>
            </w:r>
          </w:p>
        </w:tc>
      </w:tr>
      <w:tr w:rsidR="00D10E32" w:rsidRPr="003D4541" w:rsidTr="0020385F">
        <w:trPr>
          <w:trHeight w:val="390"/>
          <w:jc w:val="center"/>
        </w:trPr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8-Borç Verme</w:t>
            </w:r>
          </w:p>
          <w:p w:rsidR="00D10E32" w:rsidRPr="003D4541" w:rsidRDefault="00D10E32" w:rsidP="0020385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D4541">
              <w:rPr>
                <w:rFonts w:ascii="Times New Roman" w:hAnsi="Times New Roman" w:cs="Times New Roman"/>
                <w:i/>
                <w:sz w:val="20"/>
                <w:szCs w:val="20"/>
              </w:rPr>
              <w:t>Bağlı idarelere/kamu kurum ve kuruluşlarına/kamu ortaklıklarına vb. yapılanlar)</w:t>
            </w:r>
          </w:p>
        </w:tc>
        <w:tc>
          <w:tcPr>
            <w:tcW w:w="0" w:type="auto"/>
          </w:tcPr>
          <w:p w:rsidR="00D10E32" w:rsidRPr="00DD10DB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353.253</w:t>
            </w:r>
          </w:p>
        </w:tc>
        <w:tc>
          <w:tcPr>
            <w:tcW w:w="0" w:type="auto"/>
          </w:tcPr>
          <w:p w:rsidR="00D10E32" w:rsidRPr="00DD10DB" w:rsidRDefault="00D10E32" w:rsidP="0020385F">
            <w:pPr>
              <w:spacing w:after="100" w:afterAutospacing="1" w:line="96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101.771</w:t>
            </w:r>
          </w:p>
        </w:tc>
        <w:tc>
          <w:tcPr>
            <w:tcW w:w="0" w:type="auto"/>
          </w:tcPr>
          <w:p w:rsidR="00D10E32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400.150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150.692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10E32" w:rsidRPr="003D4541" w:rsidTr="0020385F">
        <w:trPr>
          <w:trHeight w:val="390"/>
          <w:jc w:val="center"/>
        </w:trPr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 Yedek Ödenek</w:t>
            </w:r>
          </w:p>
        </w:tc>
        <w:tc>
          <w:tcPr>
            <w:tcW w:w="0" w:type="auto"/>
          </w:tcPr>
          <w:p w:rsidR="00D10E32" w:rsidRPr="00DD10DB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10E32" w:rsidRPr="00DD10DB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10E32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10E32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880.004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0E32" w:rsidRPr="003D4541" w:rsidTr="0020385F">
        <w:trPr>
          <w:jc w:val="center"/>
        </w:trPr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GİDER TOPLAMI                 </w:t>
            </w:r>
          </w:p>
        </w:tc>
        <w:tc>
          <w:tcPr>
            <w:tcW w:w="0" w:type="auto"/>
          </w:tcPr>
          <w:p w:rsidR="00D10E32" w:rsidRPr="00DD10DB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>6.614.445</w:t>
            </w:r>
          </w:p>
        </w:tc>
        <w:tc>
          <w:tcPr>
            <w:tcW w:w="0" w:type="auto"/>
            <w:vAlign w:val="bottom"/>
          </w:tcPr>
          <w:p w:rsidR="00D10E32" w:rsidRPr="00DD10DB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1.868.051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28,2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8.800.000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1.497.024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10E32" w:rsidRPr="003D4541" w:rsidRDefault="00D10E32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-19,8</w:t>
            </w:r>
          </w:p>
        </w:tc>
      </w:tr>
    </w:tbl>
    <w:p w:rsidR="00824B9C" w:rsidRDefault="00D10E32" w:rsidP="00824B9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851FB">
        <w:rPr>
          <w:rFonts w:ascii="Times New Roman" w:hAnsi="Times New Roman" w:cs="Times New Roman"/>
          <w:b/>
          <w:sz w:val="18"/>
          <w:szCs w:val="18"/>
        </w:rPr>
        <w:t>Not:</w:t>
      </w:r>
      <w:r w:rsidR="006F4C73">
        <w:rPr>
          <w:rFonts w:ascii="Times New Roman" w:hAnsi="Times New Roman" w:cs="Times New Roman"/>
          <w:sz w:val="18"/>
          <w:szCs w:val="18"/>
        </w:rPr>
        <w:t xml:space="preserve"> Küsuratlar yuvarlatılmıştır.</w:t>
      </w:r>
    </w:p>
    <w:p w:rsidR="006F4C73" w:rsidRDefault="006F4C73" w:rsidP="00824B9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824B9C" w:rsidRPr="006F4C73" w:rsidRDefault="006F4C73" w:rsidP="006F4C73">
      <w:pPr>
        <w:spacing w:after="0" w:line="240" w:lineRule="atLeast"/>
        <w:ind w:firstLine="851"/>
        <w:contextualSpacing/>
        <w:jc w:val="both"/>
        <w:rPr>
          <w:rFonts w:cstheme="minorHAnsi"/>
          <w:b/>
          <w:szCs w:val="24"/>
        </w:rPr>
      </w:pPr>
      <w:r w:rsidRPr="006F4C73">
        <w:rPr>
          <w:rFonts w:cstheme="minorHAnsi"/>
          <w:b/>
          <w:szCs w:val="24"/>
        </w:rPr>
        <w:t>16</w:t>
      </w:r>
      <w:r w:rsidRPr="006F4C73">
        <w:rPr>
          <w:rFonts w:cstheme="minorHAnsi"/>
          <w:szCs w:val="24"/>
        </w:rPr>
        <w:t>-</w:t>
      </w:r>
      <w:r w:rsidR="00824B9C" w:rsidRPr="006F4C73">
        <w:rPr>
          <w:rFonts w:cstheme="minorHAnsi"/>
          <w:szCs w:val="24"/>
        </w:rPr>
        <w:t>Tablo incelemesinden de anlaşılacağı üzere 2019 yılının ilk üç aylık döneminde</w:t>
      </w:r>
      <w:r w:rsidR="00472467" w:rsidRPr="006F4C73">
        <w:rPr>
          <w:rFonts w:cstheme="minorHAnsi"/>
          <w:szCs w:val="24"/>
        </w:rPr>
        <w:t xml:space="preserve"> gider bütçesi gerçekleşmelerinde, </w:t>
      </w:r>
      <w:r w:rsidR="00824B9C" w:rsidRPr="006F4C73">
        <w:rPr>
          <w:rFonts w:cstheme="minorHAnsi"/>
          <w:szCs w:val="24"/>
        </w:rPr>
        <w:t xml:space="preserve"> geçen yılın aynı dönemine göre sermaye transferlerinde % 21011, cari transferlerde %92,4 ve borç vermelerde %48 oranında artış olmuştur.</w:t>
      </w:r>
    </w:p>
    <w:p w:rsidR="00824B9C" w:rsidRPr="006F4C73" w:rsidRDefault="00824B9C" w:rsidP="00824B9C">
      <w:pPr>
        <w:spacing w:after="0" w:line="240" w:lineRule="atLeast"/>
        <w:contextualSpacing/>
        <w:jc w:val="both"/>
        <w:rPr>
          <w:rFonts w:cstheme="minorHAnsi"/>
          <w:szCs w:val="24"/>
        </w:rPr>
      </w:pPr>
      <w:r w:rsidRPr="006F4C73">
        <w:rPr>
          <w:rFonts w:cstheme="minorHAnsi"/>
          <w:szCs w:val="24"/>
        </w:rPr>
        <w:t xml:space="preserve">                Bunun yanı sıra karşılaştırmaya temel alınmış dönemde mal ve hizmet alım giderlerinde %55, sermaye giderlerinde %23,8 oranlarında eksilmeler olmuştur.</w:t>
      </w:r>
    </w:p>
    <w:p w:rsidR="00472467" w:rsidRDefault="00824B9C" w:rsidP="00824B9C">
      <w:pPr>
        <w:spacing w:after="0" w:line="240" w:lineRule="atLeast"/>
        <w:contextualSpacing/>
        <w:jc w:val="both"/>
        <w:rPr>
          <w:rFonts w:cstheme="minorHAnsi"/>
          <w:szCs w:val="24"/>
        </w:rPr>
      </w:pPr>
      <w:r w:rsidRPr="006F4C73">
        <w:rPr>
          <w:rFonts w:cstheme="minorHAnsi"/>
          <w:szCs w:val="24"/>
        </w:rPr>
        <w:t xml:space="preserve">    </w:t>
      </w:r>
      <w:r w:rsidR="00DE1A9A">
        <w:rPr>
          <w:rFonts w:cstheme="minorHAnsi"/>
          <w:szCs w:val="24"/>
        </w:rPr>
        <w:t xml:space="preserve">           2019 yılı gider b</w:t>
      </w:r>
      <w:r w:rsidRPr="006F4C73">
        <w:rPr>
          <w:rFonts w:cstheme="minorHAnsi"/>
          <w:szCs w:val="24"/>
        </w:rPr>
        <w:t>ütçe</w:t>
      </w:r>
      <w:r w:rsidR="00DE1A9A">
        <w:rPr>
          <w:rFonts w:cstheme="minorHAnsi"/>
          <w:szCs w:val="24"/>
        </w:rPr>
        <w:t>si</w:t>
      </w:r>
      <w:r w:rsidRPr="006F4C73">
        <w:rPr>
          <w:rFonts w:cstheme="minorHAnsi"/>
          <w:szCs w:val="24"/>
        </w:rPr>
        <w:t xml:space="preserve"> gerçe</w:t>
      </w:r>
      <w:r w:rsidR="00DE1A9A">
        <w:rPr>
          <w:rFonts w:cstheme="minorHAnsi"/>
          <w:szCs w:val="24"/>
        </w:rPr>
        <w:t xml:space="preserve">kleşmelerinde, </w:t>
      </w:r>
      <w:r w:rsidRPr="006F4C73">
        <w:rPr>
          <w:rFonts w:cstheme="minorHAnsi"/>
          <w:szCs w:val="24"/>
        </w:rPr>
        <w:t>toplam olarak</w:t>
      </w:r>
      <w:r w:rsidR="00DE1A9A">
        <w:rPr>
          <w:rFonts w:cstheme="minorHAnsi"/>
          <w:szCs w:val="24"/>
        </w:rPr>
        <w:t xml:space="preserve">, </w:t>
      </w:r>
      <w:r w:rsidRPr="006F4C73">
        <w:rPr>
          <w:rFonts w:cstheme="minorHAnsi"/>
          <w:szCs w:val="24"/>
        </w:rPr>
        <w:t>önceki yıla göre yaklaşık %20 oranında eksilme oluşmuştur.</w:t>
      </w:r>
    </w:p>
    <w:p w:rsidR="001E68CA" w:rsidRDefault="001E68CA" w:rsidP="00824B9C">
      <w:pPr>
        <w:spacing w:after="0" w:line="240" w:lineRule="atLeast"/>
        <w:contextualSpacing/>
        <w:jc w:val="both"/>
        <w:rPr>
          <w:rFonts w:cstheme="minorHAnsi"/>
          <w:szCs w:val="24"/>
        </w:rPr>
      </w:pPr>
    </w:p>
    <w:p w:rsidR="001E68CA" w:rsidRDefault="001E68CA" w:rsidP="001E68CA">
      <w:pPr>
        <w:spacing w:after="0" w:line="240" w:lineRule="atLeast"/>
        <w:ind w:firstLine="851"/>
        <w:contextualSpacing/>
        <w:jc w:val="both"/>
        <w:rPr>
          <w:rFonts w:cstheme="minorHAnsi"/>
          <w:b/>
          <w:szCs w:val="24"/>
        </w:rPr>
      </w:pPr>
      <w:r w:rsidRPr="006F4C73">
        <w:rPr>
          <w:rFonts w:cstheme="minorHAnsi"/>
          <w:b/>
          <w:szCs w:val="24"/>
        </w:rPr>
        <w:t>B)-Gelir Gerçekleşmeleri</w:t>
      </w:r>
    </w:p>
    <w:p w:rsidR="00824B9C" w:rsidRPr="001E68CA" w:rsidRDefault="001E68CA" w:rsidP="001E68CA">
      <w:pPr>
        <w:spacing w:after="0" w:line="240" w:lineRule="atLeast"/>
        <w:ind w:firstLine="851"/>
        <w:contextualSpacing/>
        <w:jc w:val="both"/>
        <w:rPr>
          <w:rFonts w:cstheme="minorHAnsi"/>
          <w:b/>
          <w:szCs w:val="24"/>
        </w:rPr>
      </w:pPr>
      <w:r w:rsidRPr="001E68CA">
        <w:rPr>
          <w:rFonts w:cstheme="minorHAnsi"/>
          <w:b/>
          <w:szCs w:val="24"/>
        </w:rPr>
        <w:t>17</w:t>
      </w:r>
      <w:r>
        <w:rPr>
          <w:rFonts w:cstheme="minorHAnsi"/>
          <w:szCs w:val="24"/>
        </w:rPr>
        <w:t>-</w:t>
      </w:r>
      <w:r w:rsidR="00472467" w:rsidRPr="006F4C73">
        <w:rPr>
          <w:rFonts w:cstheme="minorHAnsi"/>
          <w:szCs w:val="24"/>
        </w:rPr>
        <w:t>ABB 2018 ve 2019 yılları</w:t>
      </w:r>
      <w:r>
        <w:rPr>
          <w:rFonts w:cstheme="minorHAnsi"/>
          <w:szCs w:val="24"/>
        </w:rPr>
        <w:t>na ilişkin</w:t>
      </w:r>
      <w:r w:rsidR="00472467" w:rsidRPr="006F4C73">
        <w:rPr>
          <w:rFonts w:cstheme="minorHAnsi"/>
          <w:szCs w:val="24"/>
        </w:rPr>
        <w:t xml:space="preserve"> gelir bütçelerinde ekonomik sınıflandırmaya göre 1. dönemlerde ( Ocak- Mart ayların</w:t>
      </w:r>
      <w:r>
        <w:rPr>
          <w:rFonts w:cstheme="minorHAnsi"/>
          <w:szCs w:val="24"/>
        </w:rPr>
        <w:t>da) gerçekleşmiş bütçe gelirleri</w:t>
      </w:r>
      <w:r w:rsidR="00472467" w:rsidRPr="006F4C73">
        <w:rPr>
          <w:rFonts w:cstheme="minorHAnsi"/>
          <w:szCs w:val="24"/>
        </w:rPr>
        <w:t>, 2018/2019 değişim oranları aşağıdaki tabloda gösterilmiştir</w:t>
      </w:r>
    </w:p>
    <w:p w:rsidR="00472467" w:rsidRDefault="00472467" w:rsidP="00824B9C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824B9C" w:rsidRPr="00DD10DB" w:rsidRDefault="00472467" w:rsidP="00824B9C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</w:t>
      </w:r>
      <w:r w:rsidR="00824B9C" w:rsidRPr="00DD10DB">
        <w:rPr>
          <w:rFonts w:ascii="Times New Roman" w:hAnsi="Times New Roman" w:cs="Times New Roman"/>
          <w:b/>
          <w:sz w:val="20"/>
          <w:szCs w:val="20"/>
        </w:rPr>
        <w:t>Tablo:</w:t>
      </w:r>
      <w:r w:rsidR="009877C2">
        <w:rPr>
          <w:rFonts w:ascii="Times New Roman" w:hAnsi="Times New Roman" w:cs="Times New Roman"/>
          <w:b/>
          <w:sz w:val="20"/>
          <w:szCs w:val="20"/>
        </w:rPr>
        <w:t xml:space="preserve"> 7</w:t>
      </w:r>
      <w:r w:rsidR="00824B9C">
        <w:rPr>
          <w:rFonts w:ascii="Times New Roman" w:hAnsi="Times New Roman" w:cs="Times New Roman"/>
          <w:b/>
          <w:sz w:val="20"/>
          <w:szCs w:val="20"/>
        </w:rPr>
        <w:t xml:space="preserve"> 2019 Yılı Gelir Bütçelerinde</w:t>
      </w:r>
      <w:r w:rsidR="00824B9C" w:rsidRPr="00891559">
        <w:rPr>
          <w:rFonts w:ascii="Times New Roman" w:hAnsi="Times New Roman" w:cs="Times New Roman"/>
          <w:b/>
          <w:sz w:val="20"/>
          <w:szCs w:val="20"/>
        </w:rPr>
        <w:t xml:space="preserve"> Ekonomik Sınıflandırmaya Göre I. Dönemde </w:t>
      </w:r>
      <w:r w:rsidR="00824B9C">
        <w:rPr>
          <w:rFonts w:ascii="Times New Roman" w:hAnsi="Times New Roman" w:cs="Times New Roman"/>
          <w:b/>
          <w:sz w:val="20"/>
          <w:szCs w:val="20"/>
        </w:rPr>
        <w:t>Gerçekleşmiş Bütçe Gelirleri</w:t>
      </w:r>
      <w:r w:rsidR="00824B9C">
        <w:rPr>
          <w:rFonts w:ascii="Times New Roman" w:hAnsi="Times New Roman" w:cs="Times New Roman"/>
          <w:b/>
          <w:szCs w:val="24"/>
        </w:rPr>
        <w:t xml:space="preserve"> </w:t>
      </w:r>
      <w:r w:rsidR="00824B9C">
        <w:rPr>
          <w:rFonts w:ascii="Times New Roman" w:hAnsi="Times New Roman" w:cs="Times New Roman"/>
          <w:sz w:val="18"/>
          <w:szCs w:val="18"/>
        </w:rPr>
        <w:t xml:space="preserve"> </w:t>
      </w:r>
      <w:r w:rsidR="00824B9C" w:rsidRPr="00DD10DB">
        <w:rPr>
          <w:rFonts w:ascii="Times New Roman" w:hAnsi="Times New Roman" w:cs="Times New Roman"/>
          <w:b/>
          <w:sz w:val="20"/>
          <w:szCs w:val="20"/>
        </w:rPr>
        <w:t>(Bin TL)</w:t>
      </w:r>
    </w:p>
    <w:p w:rsidR="00824B9C" w:rsidRPr="00DD10DB" w:rsidRDefault="00824B9C" w:rsidP="00824B9C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02" w:type="dxa"/>
        <w:jc w:val="center"/>
        <w:tblLayout w:type="fixed"/>
        <w:tblLook w:val="04A0" w:firstRow="1" w:lastRow="0" w:firstColumn="1" w:lastColumn="0" w:noHBand="0" w:noVBand="1"/>
      </w:tblPr>
      <w:tblGrid>
        <w:gridCol w:w="3146"/>
        <w:gridCol w:w="1016"/>
        <w:gridCol w:w="1220"/>
        <w:gridCol w:w="709"/>
        <w:gridCol w:w="1134"/>
        <w:gridCol w:w="1083"/>
        <w:gridCol w:w="618"/>
        <w:gridCol w:w="676"/>
      </w:tblGrid>
      <w:tr w:rsidR="00824B9C" w:rsidRPr="007851FB" w:rsidTr="0020385F">
        <w:trPr>
          <w:trHeight w:hRule="exact" w:val="253"/>
          <w:jc w:val="center"/>
        </w:trPr>
        <w:tc>
          <w:tcPr>
            <w:tcW w:w="3146" w:type="dxa"/>
            <w:vMerge w:val="restart"/>
          </w:tcPr>
          <w:p w:rsidR="00824B9C" w:rsidRPr="007851FB" w:rsidRDefault="00824B9C" w:rsidP="002038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b/>
                <w:sz w:val="18"/>
                <w:szCs w:val="18"/>
              </w:rPr>
              <w:t>Gelirin Türü</w:t>
            </w:r>
          </w:p>
        </w:tc>
        <w:tc>
          <w:tcPr>
            <w:tcW w:w="2945" w:type="dxa"/>
            <w:gridSpan w:val="3"/>
          </w:tcPr>
          <w:p w:rsidR="00824B9C" w:rsidRPr="00DD10DB" w:rsidRDefault="00824B9C" w:rsidP="0020385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835" w:type="dxa"/>
            <w:gridSpan w:val="3"/>
          </w:tcPr>
          <w:p w:rsidR="00824B9C" w:rsidRPr="00DD10DB" w:rsidRDefault="00824B9C" w:rsidP="0020385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76" w:type="dxa"/>
            <w:vMerge w:val="restart"/>
          </w:tcPr>
          <w:p w:rsidR="00824B9C" w:rsidRDefault="00824B9C" w:rsidP="0020385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Değ. Oranı (%)</w:t>
            </w:r>
          </w:p>
        </w:tc>
      </w:tr>
      <w:tr w:rsidR="00824B9C" w:rsidRPr="00DD10DB" w:rsidTr="0020385F">
        <w:trPr>
          <w:trHeight w:hRule="exact" w:val="567"/>
          <w:jc w:val="center"/>
        </w:trPr>
        <w:tc>
          <w:tcPr>
            <w:tcW w:w="3146" w:type="dxa"/>
            <w:vMerge/>
          </w:tcPr>
          <w:p w:rsidR="00824B9C" w:rsidRPr="007851FB" w:rsidRDefault="00824B9C" w:rsidP="002038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824B9C" w:rsidRPr="00DD10DB" w:rsidRDefault="00824B9C" w:rsidP="0020385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 </w:t>
            </w:r>
            <w:proofErr w:type="spellStart"/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>Gerç</w:t>
            </w:r>
            <w:proofErr w:type="spellEnd"/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0" w:type="dxa"/>
          </w:tcPr>
          <w:p w:rsidR="00824B9C" w:rsidRPr="00A20A46" w:rsidRDefault="00824B9C" w:rsidP="0020385F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A20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 </w:t>
            </w:r>
            <w:proofErr w:type="spellStart"/>
            <w:r w:rsidRPr="00A20A46">
              <w:rPr>
                <w:rFonts w:ascii="Times New Roman" w:hAnsi="Times New Roman" w:cs="Times New Roman"/>
                <w:b/>
                <w:sz w:val="20"/>
                <w:szCs w:val="20"/>
              </w:rPr>
              <w:t>Gerç</w:t>
            </w:r>
            <w:proofErr w:type="spellEnd"/>
            <w:r w:rsidRPr="00A20A4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24B9C" w:rsidRPr="00DD10DB" w:rsidRDefault="00824B9C" w:rsidP="0020385F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24B9C" w:rsidRPr="00DD10DB" w:rsidRDefault="00824B9C" w:rsidP="0020385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24B9C" w:rsidRPr="00DD10DB" w:rsidRDefault="00824B9C" w:rsidP="0020385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>Bütçe</w:t>
            </w:r>
          </w:p>
        </w:tc>
        <w:tc>
          <w:tcPr>
            <w:tcW w:w="1083" w:type="dxa"/>
          </w:tcPr>
          <w:p w:rsidR="00824B9C" w:rsidRPr="00DD10DB" w:rsidRDefault="00824B9C" w:rsidP="0020385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Dönem </w:t>
            </w:r>
            <w:proofErr w:type="spellStart"/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>Gerç</w:t>
            </w:r>
            <w:proofErr w:type="spellEnd"/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18" w:type="dxa"/>
          </w:tcPr>
          <w:p w:rsidR="00824B9C" w:rsidRPr="00DD10DB" w:rsidRDefault="00824B9C" w:rsidP="0020385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76" w:type="dxa"/>
            <w:vMerge/>
          </w:tcPr>
          <w:p w:rsidR="00824B9C" w:rsidRPr="00DD10DB" w:rsidRDefault="00824B9C" w:rsidP="0020385F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4B9C" w:rsidRPr="00DD10DB" w:rsidTr="0020385F">
        <w:trPr>
          <w:trHeight w:hRule="exact" w:val="567"/>
          <w:jc w:val="center"/>
        </w:trPr>
        <w:tc>
          <w:tcPr>
            <w:tcW w:w="3146" w:type="dxa"/>
          </w:tcPr>
          <w:p w:rsidR="00824B9C" w:rsidRPr="007851FB" w:rsidRDefault="00824B9C" w:rsidP="0020385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b/>
                <w:sz w:val="20"/>
                <w:szCs w:val="20"/>
              </w:rPr>
              <w:t>1-Vergi Gelirleri</w:t>
            </w:r>
          </w:p>
          <w:p w:rsidR="00824B9C" w:rsidRPr="007851FB" w:rsidRDefault="00824B9C" w:rsidP="002038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(Emlak, mal/ hizmet vergileri; harçlar vb.)</w:t>
            </w:r>
          </w:p>
        </w:tc>
        <w:tc>
          <w:tcPr>
            <w:tcW w:w="1016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92.548</w:t>
            </w:r>
          </w:p>
        </w:tc>
        <w:tc>
          <w:tcPr>
            <w:tcW w:w="1220" w:type="dxa"/>
            <w:vAlign w:val="bottom"/>
          </w:tcPr>
          <w:p w:rsidR="00824B9C" w:rsidRPr="00DD10DB" w:rsidRDefault="00824B9C" w:rsidP="0020385F">
            <w:pPr>
              <w:spacing w:after="0" w:line="72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11.826</w:t>
            </w:r>
          </w:p>
        </w:tc>
        <w:tc>
          <w:tcPr>
            <w:tcW w:w="709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134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241.774</w:t>
            </w:r>
          </w:p>
        </w:tc>
        <w:tc>
          <w:tcPr>
            <w:tcW w:w="1083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12.184</w:t>
            </w:r>
          </w:p>
        </w:tc>
        <w:tc>
          <w:tcPr>
            <w:tcW w:w="618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4B9C" w:rsidRPr="00DD10DB" w:rsidTr="0020385F">
        <w:trPr>
          <w:trHeight w:hRule="exact" w:val="567"/>
          <w:jc w:val="center"/>
        </w:trPr>
        <w:tc>
          <w:tcPr>
            <w:tcW w:w="3146" w:type="dxa"/>
          </w:tcPr>
          <w:p w:rsidR="00824B9C" w:rsidRPr="007851FB" w:rsidRDefault="00824B9C" w:rsidP="0020385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b/>
                <w:sz w:val="20"/>
                <w:szCs w:val="20"/>
              </w:rPr>
              <w:t>2-Teşebbüs ve Mülkiyet Gelirleri</w:t>
            </w:r>
          </w:p>
          <w:p w:rsidR="00824B9C" w:rsidRPr="007851FB" w:rsidRDefault="00824B9C" w:rsidP="002038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(Mal/hizmet satışı, kira vb.)</w:t>
            </w:r>
          </w:p>
        </w:tc>
        <w:tc>
          <w:tcPr>
            <w:tcW w:w="1016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308.044</w:t>
            </w:r>
          </w:p>
        </w:tc>
        <w:tc>
          <w:tcPr>
            <w:tcW w:w="1220" w:type="dxa"/>
            <w:vAlign w:val="bottom"/>
          </w:tcPr>
          <w:p w:rsidR="00824B9C" w:rsidRPr="00DD10DB" w:rsidRDefault="00824B9C" w:rsidP="0020385F">
            <w:pPr>
              <w:spacing w:after="0" w:line="72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 xml:space="preserve">     34.123</w:t>
            </w:r>
          </w:p>
        </w:tc>
        <w:tc>
          <w:tcPr>
            <w:tcW w:w="709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184.654</w:t>
            </w:r>
          </w:p>
        </w:tc>
        <w:tc>
          <w:tcPr>
            <w:tcW w:w="1083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39.014</w:t>
            </w:r>
          </w:p>
        </w:tc>
        <w:tc>
          <w:tcPr>
            <w:tcW w:w="618" w:type="dxa"/>
          </w:tcPr>
          <w:p w:rsidR="00824B9C" w:rsidRPr="00DD10DB" w:rsidRDefault="00824B9C" w:rsidP="00203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21</w:t>
            </w:r>
          </w:p>
        </w:tc>
        <w:tc>
          <w:tcPr>
            <w:tcW w:w="676" w:type="dxa"/>
          </w:tcPr>
          <w:p w:rsidR="00824B9C" w:rsidRPr="00DD10DB" w:rsidRDefault="00824B9C" w:rsidP="00203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</w:p>
        </w:tc>
      </w:tr>
      <w:tr w:rsidR="00824B9C" w:rsidRPr="00DD10DB" w:rsidTr="0020385F">
        <w:trPr>
          <w:trHeight w:hRule="exact" w:val="284"/>
          <w:jc w:val="center"/>
        </w:trPr>
        <w:tc>
          <w:tcPr>
            <w:tcW w:w="3146" w:type="dxa"/>
          </w:tcPr>
          <w:p w:rsidR="00824B9C" w:rsidRPr="007851FB" w:rsidRDefault="00824B9C" w:rsidP="0020385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b/>
                <w:sz w:val="20"/>
                <w:szCs w:val="20"/>
              </w:rPr>
              <w:t>3- Alınan Bağış ve Yardımlar</w:t>
            </w:r>
          </w:p>
        </w:tc>
        <w:tc>
          <w:tcPr>
            <w:tcW w:w="1016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79.656</w:t>
            </w:r>
          </w:p>
        </w:tc>
        <w:tc>
          <w:tcPr>
            <w:tcW w:w="1220" w:type="dxa"/>
            <w:vAlign w:val="bottom"/>
          </w:tcPr>
          <w:p w:rsidR="00824B9C" w:rsidRPr="00DD10DB" w:rsidRDefault="00824B9C" w:rsidP="0020385F">
            <w:pPr>
              <w:spacing w:after="0" w:line="72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3.066</w:t>
            </w:r>
          </w:p>
        </w:tc>
        <w:tc>
          <w:tcPr>
            <w:tcW w:w="709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83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618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76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</w:tr>
      <w:tr w:rsidR="00824B9C" w:rsidRPr="00DD10DB" w:rsidTr="0020385F">
        <w:trPr>
          <w:trHeight w:hRule="exact" w:val="567"/>
          <w:jc w:val="center"/>
        </w:trPr>
        <w:tc>
          <w:tcPr>
            <w:tcW w:w="3146" w:type="dxa"/>
          </w:tcPr>
          <w:p w:rsidR="00824B9C" w:rsidRPr="007851FB" w:rsidRDefault="00824B9C" w:rsidP="0020385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7851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Faizler, </w:t>
            </w:r>
            <w:r w:rsidRPr="007851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Paylar</w:t>
            </w:r>
            <w:r w:rsidRPr="007851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Cezalar</w:t>
            </w:r>
          </w:p>
          <w:p w:rsidR="00824B9C" w:rsidRPr="007851FB" w:rsidRDefault="00824B9C" w:rsidP="002038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(Kişi ve kurumlardan alınan paylar vb.)</w:t>
            </w:r>
          </w:p>
        </w:tc>
        <w:tc>
          <w:tcPr>
            <w:tcW w:w="1016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4.961.050</w:t>
            </w:r>
          </w:p>
        </w:tc>
        <w:tc>
          <w:tcPr>
            <w:tcW w:w="1220" w:type="dxa"/>
            <w:vAlign w:val="bottom"/>
          </w:tcPr>
          <w:p w:rsidR="00824B9C" w:rsidRPr="00DD10DB" w:rsidRDefault="00824B9C" w:rsidP="0020385F">
            <w:pPr>
              <w:spacing w:after="0" w:line="72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1.032.524</w:t>
            </w:r>
          </w:p>
        </w:tc>
        <w:tc>
          <w:tcPr>
            <w:tcW w:w="709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134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5.341.137</w:t>
            </w:r>
          </w:p>
        </w:tc>
        <w:tc>
          <w:tcPr>
            <w:tcW w:w="1083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1.337.615</w:t>
            </w:r>
          </w:p>
        </w:tc>
        <w:tc>
          <w:tcPr>
            <w:tcW w:w="618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6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824B9C" w:rsidRPr="00DD10DB" w:rsidTr="0020385F">
        <w:trPr>
          <w:trHeight w:hRule="exact" w:val="567"/>
          <w:jc w:val="center"/>
        </w:trPr>
        <w:tc>
          <w:tcPr>
            <w:tcW w:w="3146" w:type="dxa"/>
          </w:tcPr>
          <w:p w:rsidR="00824B9C" w:rsidRPr="007851FB" w:rsidRDefault="00824B9C" w:rsidP="002038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7851FB">
              <w:rPr>
                <w:rFonts w:ascii="Times New Roman" w:hAnsi="Times New Roman" w:cs="Times New Roman"/>
                <w:b/>
                <w:sz w:val="20"/>
                <w:szCs w:val="20"/>
              </w:rPr>
              <w:t>Sermaye Gelirleri</w:t>
            </w:r>
          </w:p>
          <w:p w:rsidR="00824B9C" w:rsidRPr="007851FB" w:rsidRDefault="00824B9C" w:rsidP="002038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sz w:val="20"/>
                <w:szCs w:val="20"/>
              </w:rPr>
              <w:t xml:space="preserve">(Taşınır/taşınmaz/menkul kıymet satışı vb.) </w:t>
            </w:r>
          </w:p>
        </w:tc>
        <w:tc>
          <w:tcPr>
            <w:tcW w:w="1016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363.368</w:t>
            </w:r>
          </w:p>
        </w:tc>
        <w:tc>
          <w:tcPr>
            <w:tcW w:w="1220" w:type="dxa"/>
            <w:vAlign w:val="bottom"/>
          </w:tcPr>
          <w:p w:rsidR="00824B9C" w:rsidRPr="00DD10DB" w:rsidRDefault="00824B9C" w:rsidP="0020385F">
            <w:pPr>
              <w:spacing w:after="0" w:line="72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 xml:space="preserve">   123.623</w:t>
            </w:r>
          </w:p>
        </w:tc>
        <w:tc>
          <w:tcPr>
            <w:tcW w:w="709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2.987.812</w:t>
            </w:r>
          </w:p>
        </w:tc>
        <w:tc>
          <w:tcPr>
            <w:tcW w:w="1083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83.910</w:t>
            </w:r>
          </w:p>
        </w:tc>
        <w:tc>
          <w:tcPr>
            <w:tcW w:w="618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</w:tr>
      <w:tr w:rsidR="00824B9C" w:rsidRPr="007851FB" w:rsidTr="0020385F">
        <w:trPr>
          <w:trHeight w:hRule="exact" w:val="284"/>
          <w:jc w:val="center"/>
        </w:trPr>
        <w:tc>
          <w:tcPr>
            <w:tcW w:w="3146" w:type="dxa"/>
          </w:tcPr>
          <w:p w:rsidR="00824B9C" w:rsidRPr="007851FB" w:rsidRDefault="00824B9C" w:rsidP="002038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51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6-Alacaklardan Tahsilat</w:t>
            </w:r>
          </w:p>
        </w:tc>
        <w:tc>
          <w:tcPr>
            <w:tcW w:w="1016" w:type="dxa"/>
          </w:tcPr>
          <w:p w:rsidR="00824B9C" w:rsidRPr="001E68CA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CA">
              <w:rPr>
                <w:rFonts w:ascii="Times New Roman" w:hAnsi="Times New Roman" w:cs="Times New Roman"/>
                <w:sz w:val="20"/>
                <w:szCs w:val="20"/>
              </w:rPr>
              <w:t>239.054</w:t>
            </w:r>
          </w:p>
        </w:tc>
        <w:tc>
          <w:tcPr>
            <w:tcW w:w="1220" w:type="dxa"/>
            <w:vAlign w:val="bottom"/>
          </w:tcPr>
          <w:p w:rsidR="00824B9C" w:rsidRPr="001E68CA" w:rsidRDefault="00824B9C" w:rsidP="0020385F">
            <w:pPr>
              <w:spacing w:after="0" w:line="72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CA">
              <w:rPr>
                <w:rFonts w:ascii="Times New Roman" w:hAnsi="Times New Roman" w:cs="Times New Roman"/>
                <w:sz w:val="20"/>
                <w:szCs w:val="20"/>
              </w:rPr>
              <w:t>217.931</w:t>
            </w:r>
          </w:p>
        </w:tc>
        <w:tc>
          <w:tcPr>
            <w:tcW w:w="709" w:type="dxa"/>
          </w:tcPr>
          <w:p w:rsidR="00824B9C" w:rsidRPr="001E68CA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C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824B9C" w:rsidRPr="001E68CA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CA">
              <w:rPr>
                <w:rFonts w:ascii="Times New Roman" w:hAnsi="Times New Roman" w:cs="Times New Roman"/>
                <w:sz w:val="20"/>
                <w:szCs w:val="20"/>
              </w:rPr>
              <w:t>44.000</w:t>
            </w:r>
          </w:p>
        </w:tc>
        <w:tc>
          <w:tcPr>
            <w:tcW w:w="1083" w:type="dxa"/>
          </w:tcPr>
          <w:p w:rsidR="00824B9C" w:rsidRPr="001E68CA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CA">
              <w:rPr>
                <w:rFonts w:ascii="Times New Roman" w:hAnsi="Times New Roman" w:cs="Times New Roman"/>
                <w:sz w:val="20"/>
                <w:szCs w:val="20"/>
              </w:rPr>
              <w:t>9.604</w:t>
            </w:r>
          </w:p>
        </w:tc>
        <w:tc>
          <w:tcPr>
            <w:tcW w:w="618" w:type="dxa"/>
          </w:tcPr>
          <w:p w:rsidR="00824B9C" w:rsidRPr="001E68CA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CA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676" w:type="dxa"/>
          </w:tcPr>
          <w:p w:rsidR="00824B9C" w:rsidRPr="001E68CA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68CA">
              <w:rPr>
                <w:rFonts w:ascii="Times New Roman" w:hAnsi="Times New Roman" w:cs="Times New Roman"/>
                <w:sz w:val="20"/>
                <w:szCs w:val="20"/>
              </w:rPr>
              <w:t>-95</w:t>
            </w:r>
          </w:p>
        </w:tc>
      </w:tr>
      <w:tr w:rsidR="00824B9C" w:rsidRPr="007851FB" w:rsidTr="0020385F">
        <w:trPr>
          <w:trHeight w:hRule="exact" w:val="284"/>
          <w:jc w:val="center"/>
        </w:trPr>
        <w:tc>
          <w:tcPr>
            <w:tcW w:w="3146" w:type="dxa"/>
          </w:tcPr>
          <w:p w:rsidR="00824B9C" w:rsidRPr="007851FB" w:rsidRDefault="00824B9C" w:rsidP="0020385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GELİR TOPLAMI                  </w:t>
            </w:r>
          </w:p>
        </w:tc>
        <w:tc>
          <w:tcPr>
            <w:tcW w:w="1016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6.043.723</w:t>
            </w:r>
          </w:p>
        </w:tc>
        <w:tc>
          <w:tcPr>
            <w:tcW w:w="1220" w:type="dxa"/>
            <w:vAlign w:val="bottom"/>
          </w:tcPr>
          <w:p w:rsidR="00824B9C" w:rsidRPr="00DD10DB" w:rsidRDefault="00824B9C" w:rsidP="0020385F">
            <w:pPr>
              <w:spacing w:after="0" w:line="72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1.423.126</w:t>
            </w:r>
          </w:p>
        </w:tc>
        <w:tc>
          <w:tcPr>
            <w:tcW w:w="709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34" w:type="dxa"/>
          </w:tcPr>
          <w:p w:rsidR="00824B9C" w:rsidRPr="00DD10DB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0DB">
              <w:rPr>
                <w:rFonts w:ascii="Times New Roman" w:hAnsi="Times New Roman" w:cs="Times New Roman"/>
                <w:sz w:val="20"/>
                <w:szCs w:val="20"/>
              </w:rPr>
              <w:t>8.800.000</w:t>
            </w:r>
          </w:p>
        </w:tc>
        <w:tc>
          <w:tcPr>
            <w:tcW w:w="1083" w:type="dxa"/>
          </w:tcPr>
          <w:p w:rsidR="00824B9C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1.483.011</w:t>
            </w:r>
          </w:p>
        </w:tc>
        <w:tc>
          <w:tcPr>
            <w:tcW w:w="618" w:type="dxa"/>
          </w:tcPr>
          <w:p w:rsidR="00824B9C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676" w:type="dxa"/>
          </w:tcPr>
          <w:p w:rsidR="00824B9C" w:rsidRDefault="00824B9C" w:rsidP="0020385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</w:tbl>
    <w:p w:rsidR="001E68CA" w:rsidRDefault="001E68CA" w:rsidP="001E68CA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</w:p>
    <w:p w:rsidR="00472467" w:rsidRPr="001E68CA" w:rsidRDefault="001E68CA" w:rsidP="001E68CA">
      <w:pPr>
        <w:spacing w:after="0" w:line="240" w:lineRule="atLeast"/>
        <w:ind w:firstLine="851"/>
        <w:contextualSpacing/>
        <w:jc w:val="both"/>
        <w:rPr>
          <w:rFonts w:cstheme="minorHAnsi"/>
          <w:szCs w:val="24"/>
        </w:rPr>
      </w:pPr>
      <w:r w:rsidRPr="001E68CA">
        <w:rPr>
          <w:rFonts w:cstheme="minorHAnsi"/>
          <w:b/>
          <w:szCs w:val="24"/>
        </w:rPr>
        <w:t>18-</w:t>
      </w:r>
      <w:r w:rsidR="00472467" w:rsidRPr="001E68CA">
        <w:rPr>
          <w:rFonts w:cstheme="minorHAnsi"/>
          <w:szCs w:val="24"/>
        </w:rPr>
        <w:t>Tablonun incelenmesi sırasında da görüleceği üzere</w:t>
      </w:r>
      <w:r w:rsidR="00472467" w:rsidRPr="001E68CA">
        <w:rPr>
          <w:rFonts w:cstheme="minorHAnsi"/>
          <w:b/>
          <w:szCs w:val="24"/>
        </w:rPr>
        <w:t xml:space="preserve"> </w:t>
      </w:r>
      <w:r w:rsidR="00472467" w:rsidRPr="001E68CA">
        <w:rPr>
          <w:rFonts w:cstheme="minorHAnsi"/>
          <w:szCs w:val="24"/>
        </w:rPr>
        <w:t>2019 yılının ilk üç aylık döneminde gelir bütçesi gerçekleşmelerinde; geçen yılın aynı dönemine göre alacaklardan tahsilatlarda % 95, sermaye gelirlerinde %32, alınan bağış ve yardım</w:t>
      </w:r>
      <w:r w:rsidR="00716FE5" w:rsidRPr="001E68CA">
        <w:rPr>
          <w:rFonts w:cstheme="minorHAnsi"/>
          <w:szCs w:val="24"/>
        </w:rPr>
        <w:t>larda %22 oranlarında eksilme olmuştur. 31 Mart Mahalli İdareler Genel Seçimleri nedeniyle alacaklardan tahsilat, bağış yardım gelirleri tahsilatlarının yavaşlatıldığı tahmin edilmektedir.</w:t>
      </w:r>
    </w:p>
    <w:p w:rsidR="007937EF" w:rsidRPr="001E68CA" w:rsidRDefault="00716FE5" w:rsidP="00472467">
      <w:pPr>
        <w:spacing w:after="0" w:line="240" w:lineRule="atLeast"/>
        <w:contextualSpacing/>
        <w:jc w:val="both"/>
        <w:rPr>
          <w:rFonts w:cstheme="minorHAnsi"/>
          <w:b/>
          <w:szCs w:val="24"/>
        </w:rPr>
      </w:pPr>
      <w:r w:rsidRPr="001E68CA">
        <w:rPr>
          <w:rFonts w:cstheme="minorHAnsi"/>
          <w:szCs w:val="24"/>
        </w:rPr>
        <w:t xml:space="preserve">                  Sermaye gelirlerinde ilk üç aydaki gerçekleşme sadece %3 seviyesinde olup, bir önceki yıl gerçekleşmesi olan %34’ün çok altındadır. </w:t>
      </w:r>
      <w:r w:rsidRPr="001E68CA">
        <w:rPr>
          <w:rFonts w:cstheme="minorHAnsi"/>
          <w:b/>
          <w:szCs w:val="24"/>
        </w:rPr>
        <w:t>Sermaye gelirlerindeki gerçekleşmelerden yaklaşık 3 milyar TL olarak öngörülmüş hedefe ulaşılmasının olanaksız olduğu görülmektedir.</w:t>
      </w:r>
    </w:p>
    <w:p w:rsidR="001E68CA" w:rsidRDefault="007937EF" w:rsidP="001E68CA">
      <w:pPr>
        <w:spacing w:after="0" w:line="240" w:lineRule="atLeast"/>
        <w:contextualSpacing/>
        <w:jc w:val="both"/>
        <w:rPr>
          <w:rFonts w:cstheme="minorHAnsi"/>
          <w:b/>
          <w:szCs w:val="24"/>
        </w:rPr>
      </w:pPr>
      <w:r w:rsidRPr="001E68CA">
        <w:rPr>
          <w:rFonts w:cstheme="minorHAnsi"/>
          <w:b/>
          <w:szCs w:val="24"/>
        </w:rPr>
        <w:t xml:space="preserve">     </w:t>
      </w:r>
      <w:r w:rsidR="001E68CA" w:rsidRPr="001E68CA">
        <w:rPr>
          <w:rFonts w:cstheme="minorHAnsi"/>
          <w:b/>
          <w:szCs w:val="24"/>
        </w:rPr>
        <w:t xml:space="preserve">            Bu yüzden 2019 yılı </w:t>
      </w:r>
      <w:r w:rsidR="00716FE5" w:rsidRPr="001E68CA">
        <w:rPr>
          <w:rFonts w:cstheme="minorHAnsi"/>
          <w:b/>
          <w:szCs w:val="24"/>
        </w:rPr>
        <w:t>gelir/gider</w:t>
      </w:r>
      <w:r w:rsidRPr="001E68CA">
        <w:rPr>
          <w:rFonts w:cstheme="minorHAnsi"/>
          <w:b/>
          <w:szCs w:val="24"/>
        </w:rPr>
        <w:t xml:space="preserve"> bütçesi hesaplarının rasyonel/gerçekçi yapılabilmesi için bu durumun gö</w:t>
      </w:r>
      <w:r w:rsidR="001E68CA">
        <w:rPr>
          <w:rFonts w:cstheme="minorHAnsi"/>
          <w:b/>
          <w:szCs w:val="24"/>
        </w:rPr>
        <w:t>z ardı edilmemesinde yarar vardır.</w:t>
      </w:r>
    </w:p>
    <w:p w:rsidR="00EF05DA" w:rsidRDefault="00DE1A9A" w:rsidP="00DE1A9A">
      <w:pPr>
        <w:spacing w:after="0" w:line="240" w:lineRule="atLeast"/>
        <w:contextualSpacing/>
        <w:jc w:val="both"/>
        <w:rPr>
          <w:rFonts w:cstheme="minorHAnsi"/>
          <w:szCs w:val="24"/>
        </w:rPr>
      </w:pPr>
      <w:r w:rsidRPr="006F4C73">
        <w:rPr>
          <w:rFonts w:cstheme="minorHAnsi"/>
          <w:szCs w:val="24"/>
        </w:rPr>
        <w:t xml:space="preserve">    </w:t>
      </w:r>
      <w:r>
        <w:rPr>
          <w:rFonts w:cstheme="minorHAnsi"/>
          <w:szCs w:val="24"/>
        </w:rPr>
        <w:t xml:space="preserve">           2019 yılı gelir b</w:t>
      </w:r>
      <w:r w:rsidRPr="006F4C73">
        <w:rPr>
          <w:rFonts w:cstheme="minorHAnsi"/>
          <w:szCs w:val="24"/>
        </w:rPr>
        <w:t>ütçe</w:t>
      </w:r>
      <w:r w:rsidR="00416506">
        <w:rPr>
          <w:rFonts w:cstheme="minorHAnsi"/>
          <w:szCs w:val="24"/>
        </w:rPr>
        <w:t xml:space="preserve">si </w:t>
      </w:r>
      <w:r w:rsidRPr="006F4C73">
        <w:rPr>
          <w:rFonts w:cstheme="minorHAnsi"/>
          <w:szCs w:val="24"/>
        </w:rPr>
        <w:t>gerçe</w:t>
      </w:r>
      <w:r>
        <w:rPr>
          <w:rFonts w:cstheme="minorHAnsi"/>
          <w:szCs w:val="24"/>
        </w:rPr>
        <w:t>kleşmeleri toplam olarak % 16,8 seviyesinde kalmıştır.</w:t>
      </w:r>
      <w:r w:rsidR="00416506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2019 yılı I. dönem</w:t>
      </w:r>
      <w:r w:rsidR="00E55995">
        <w:rPr>
          <w:rFonts w:cstheme="minorHAnsi"/>
          <w:szCs w:val="24"/>
        </w:rPr>
        <w:t xml:space="preserve"> gelir gerçekleşmeleri ise %23,5 seviyesindedir. 2019 yılında toplam gelirleri bir önceki yıla </w:t>
      </w:r>
      <w:r>
        <w:rPr>
          <w:rFonts w:cstheme="minorHAnsi"/>
          <w:szCs w:val="24"/>
        </w:rPr>
        <w:t>göre % 4,2 oranında artmıştır.</w:t>
      </w:r>
    </w:p>
    <w:p w:rsidR="00743109" w:rsidRDefault="00743109" w:rsidP="00743109">
      <w:r>
        <w:rPr>
          <w:rFonts w:cstheme="minorHAnsi"/>
          <w:szCs w:val="24"/>
        </w:rPr>
        <w:tab/>
      </w:r>
      <w:r w:rsidRPr="00743109">
        <w:rPr>
          <w:rFonts w:cstheme="minorHAnsi"/>
          <w:b/>
          <w:szCs w:val="24"/>
        </w:rPr>
        <w:t>19-</w:t>
      </w:r>
      <w:r>
        <w:rPr>
          <w:rFonts w:cstheme="minorHAnsi"/>
          <w:szCs w:val="24"/>
        </w:rPr>
        <w:t xml:space="preserve"> </w:t>
      </w:r>
      <w:r>
        <w:t xml:space="preserve">2018 yılı Ocak-Mart döneminde </w:t>
      </w:r>
      <w:r w:rsidRPr="00743109">
        <w:t xml:space="preserve">445 milyon </w:t>
      </w:r>
      <w:r w:rsidR="00A635EF">
        <w:t xml:space="preserve">TL açık veren bütçe; </w:t>
      </w:r>
      <w:r>
        <w:t>2019 Ocak- Mart döneminde</w:t>
      </w:r>
      <w:r w:rsidR="00A635EF">
        <w:t xml:space="preserve"> ise</w:t>
      </w:r>
      <w:r>
        <w:t xml:space="preserve"> 14 milyon</w:t>
      </w:r>
      <w:r w:rsidRPr="00743109">
        <w:rPr>
          <w:color w:val="FF0000"/>
        </w:rPr>
        <w:t xml:space="preserve"> </w:t>
      </w:r>
      <w:r>
        <w:t>TL açık vermiştir.</w:t>
      </w:r>
    </w:p>
    <w:p w:rsidR="00743109" w:rsidRPr="00416506" w:rsidRDefault="00743109" w:rsidP="00DE1A9A">
      <w:pPr>
        <w:spacing w:after="0" w:line="240" w:lineRule="atLeast"/>
        <w:contextualSpacing/>
        <w:jc w:val="both"/>
        <w:rPr>
          <w:rFonts w:cstheme="minorHAnsi"/>
          <w:szCs w:val="24"/>
        </w:rPr>
      </w:pPr>
    </w:p>
    <w:p w:rsidR="00DE1A9A" w:rsidRPr="00DE1A9A" w:rsidRDefault="00DE1A9A" w:rsidP="00DE1A9A">
      <w:pPr>
        <w:spacing w:after="0" w:line="240" w:lineRule="atLeast"/>
        <w:contextualSpacing/>
        <w:jc w:val="both"/>
        <w:rPr>
          <w:sz w:val="16"/>
          <w:szCs w:val="16"/>
        </w:rPr>
      </w:pPr>
    </w:p>
    <w:sectPr w:rsidR="00DE1A9A" w:rsidRPr="00DE1A9A" w:rsidSect="00B231F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F8" w:rsidRDefault="001129F8" w:rsidP="002318C2">
      <w:pPr>
        <w:spacing w:after="0" w:line="240" w:lineRule="auto"/>
      </w:pPr>
      <w:r>
        <w:separator/>
      </w:r>
    </w:p>
  </w:endnote>
  <w:endnote w:type="continuationSeparator" w:id="0">
    <w:p w:rsidR="001129F8" w:rsidRDefault="001129F8" w:rsidP="0023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F8" w:rsidRDefault="001129F8" w:rsidP="002318C2">
      <w:pPr>
        <w:spacing w:after="0" w:line="240" w:lineRule="auto"/>
      </w:pPr>
      <w:r>
        <w:separator/>
      </w:r>
    </w:p>
  </w:footnote>
  <w:footnote w:type="continuationSeparator" w:id="0">
    <w:p w:rsidR="001129F8" w:rsidRDefault="001129F8" w:rsidP="00231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53"/>
    <w:rsid w:val="00020957"/>
    <w:rsid w:val="00027550"/>
    <w:rsid w:val="00042A54"/>
    <w:rsid w:val="00046826"/>
    <w:rsid w:val="000A4A85"/>
    <w:rsid w:val="000B0756"/>
    <w:rsid w:val="00110C40"/>
    <w:rsid w:val="001129F8"/>
    <w:rsid w:val="001464ED"/>
    <w:rsid w:val="00163C45"/>
    <w:rsid w:val="00190B72"/>
    <w:rsid w:val="0019419E"/>
    <w:rsid w:val="001B7EC0"/>
    <w:rsid w:val="001E68CA"/>
    <w:rsid w:val="0020385F"/>
    <w:rsid w:val="002318C2"/>
    <w:rsid w:val="002405ED"/>
    <w:rsid w:val="002C0C18"/>
    <w:rsid w:val="002E004A"/>
    <w:rsid w:val="002E0FCD"/>
    <w:rsid w:val="00387585"/>
    <w:rsid w:val="003B6875"/>
    <w:rsid w:val="003C2505"/>
    <w:rsid w:val="00406D2D"/>
    <w:rsid w:val="00416506"/>
    <w:rsid w:val="00461908"/>
    <w:rsid w:val="00472467"/>
    <w:rsid w:val="004E647D"/>
    <w:rsid w:val="005A1658"/>
    <w:rsid w:val="00600891"/>
    <w:rsid w:val="00645568"/>
    <w:rsid w:val="006527A7"/>
    <w:rsid w:val="0069167B"/>
    <w:rsid w:val="00696EDC"/>
    <w:rsid w:val="006B3728"/>
    <w:rsid w:val="006F4C73"/>
    <w:rsid w:val="00716FE5"/>
    <w:rsid w:val="00743109"/>
    <w:rsid w:val="007937EF"/>
    <w:rsid w:val="008239BC"/>
    <w:rsid w:val="00824B9C"/>
    <w:rsid w:val="00891559"/>
    <w:rsid w:val="008A7A8C"/>
    <w:rsid w:val="008E7B2E"/>
    <w:rsid w:val="008F431E"/>
    <w:rsid w:val="0092425C"/>
    <w:rsid w:val="00943D3C"/>
    <w:rsid w:val="009877C2"/>
    <w:rsid w:val="0099436D"/>
    <w:rsid w:val="009A59C9"/>
    <w:rsid w:val="009C2578"/>
    <w:rsid w:val="009E1BA1"/>
    <w:rsid w:val="00A3230C"/>
    <w:rsid w:val="00A635EF"/>
    <w:rsid w:val="00B178DF"/>
    <w:rsid w:val="00B231F4"/>
    <w:rsid w:val="00B84848"/>
    <w:rsid w:val="00C01D14"/>
    <w:rsid w:val="00C50753"/>
    <w:rsid w:val="00C642DD"/>
    <w:rsid w:val="00D04F82"/>
    <w:rsid w:val="00D10E32"/>
    <w:rsid w:val="00DC4EA7"/>
    <w:rsid w:val="00DD326C"/>
    <w:rsid w:val="00DE1A9A"/>
    <w:rsid w:val="00DF39FB"/>
    <w:rsid w:val="00E11AC8"/>
    <w:rsid w:val="00E31EE9"/>
    <w:rsid w:val="00E43858"/>
    <w:rsid w:val="00E55995"/>
    <w:rsid w:val="00E96235"/>
    <w:rsid w:val="00EC308E"/>
    <w:rsid w:val="00ED6129"/>
    <w:rsid w:val="00EF05DA"/>
    <w:rsid w:val="00F05D46"/>
    <w:rsid w:val="00F201D4"/>
    <w:rsid w:val="00F403C8"/>
    <w:rsid w:val="00F63ED3"/>
    <w:rsid w:val="00FA5FAD"/>
    <w:rsid w:val="00FE59CD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F4"/>
    <w:pPr>
      <w:spacing w:after="200" w:line="276" w:lineRule="auto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318C2"/>
    <w:rPr>
      <w:color w:val="0563C1" w:themeColor="hyperlink"/>
      <w:u w:val="single"/>
    </w:rPr>
  </w:style>
  <w:style w:type="paragraph" w:styleId="SonnotMetni">
    <w:name w:val="endnote text"/>
    <w:basedOn w:val="Normal"/>
    <w:link w:val="SonnotMetniChar"/>
    <w:uiPriority w:val="99"/>
    <w:unhideWhenUsed/>
    <w:rsid w:val="002318C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2318C2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styleId="SonnotBavurusu">
    <w:name w:val="endnote reference"/>
    <w:basedOn w:val="VarsaylanParagrafYazTipi"/>
    <w:semiHidden/>
    <w:unhideWhenUsed/>
    <w:rsid w:val="002318C2"/>
    <w:rPr>
      <w:vertAlign w:val="superscript"/>
    </w:rPr>
  </w:style>
  <w:style w:type="paragraph" w:customStyle="1" w:styleId="Default">
    <w:name w:val="Default"/>
    <w:rsid w:val="00DD3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C3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F4"/>
    <w:pPr>
      <w:spacing w:after="200" w:line="276" w:lineRule="auto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318C2"/>
    <w:rPr>
      <w:color w:val="0563C1" w:themeColor="hyperlink"/>
      <w:u w:val="single"/>
    </w:rPr>
  </w:style>
  <w:style w:type="paragraph" w:styleId="SonnotMetni">
    <w:name w:val="endnote text"/>
    <w:basedOn w:val="Normal"/>
    <w:link w:val="SonnotMetniChar"/>
    <w:uiPriority w:val="99"/>
    <w:unhideWhenUsed/>
    <w:rsid w:val="002318C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2318C2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styleId="SonnotBavurusu">
    <w:name w:val="endnote reference"/>
    <w:basedOn w:val="VarsaylanParagrafYazTipi"/>
    <w:semiHidden/>
    <w:unhideWhenUsed/>
    <w:rsid w:val="002318C2"/>
    <w:rPr>
      <w:vertAlign w:val="superscript"/>
    </w:rPr>
  </w:style>
  <w:style w:type="paragraph" w:customStyle="1" w:styleId="Default">
    <w:name w:val="Default"/>
    <w:rsid w:val="00DD3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C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yistay.gov.tr/tr/?p=2&amp;ContentID=123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Esen</dc:creator>
  <cp:lastModifiedBy>FATMA GUZEL</cp:lastModifiedBy>
  <cp:revision>2</cp:revision>
  <dcterms:created xsi:type="dcterms:W3CDTF">2019-05-29T11:14:00Z</dcterms:created>
  <dcterms:modified xsi:type="dcterms:W3CDTF">2019-05-29T11:14:00Z</dcterms:modified>
</cp:coreProperties>
</file>